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245E37" w14:textId="77777777" w:rsidR="00A502A0" w:rsidRPr="00A333F5" w:rsidRDefault="00A502A0">
      <w:pPr>
        <w:jc w:val="center"/>
        <w:rPr>
          <w:rFonts w:cstheme="minorHAnsi"/>
          <w:b/>
          <w:bCs/>
          <w:color w:val="00B7D0"/>
          <w:sz w:val="32"/>
          <w:szCs w:val="32"/>
          <w:lang w:val="es-CR"/>
        </w:rPr>
      </w:pPr>
    </w:p>
    <w:p w14:paraId="5FB836E5" w14:textId="77777777" w:rsidR="00A333F5" w:rsidRDefault="00A333F5">
      <w:pPr>
        <w:jc w:val="center"/>
        <w:rPr>
          <w:rFonts w:cstheme="minorHAnsi"/>
          <w:b/>
          <w:bCs/>
          <w:color w:val="00B7D0"/>
          <w:sz w:val="32"/>
          <w:szCs w:val="32"/>
          <w:lang w:val="es-CR"/>
        </w:rPr>
      </w:pPr>
    </w:p>
    <w:p w14:paraId="6F325122" w14:textId="77777777" w:rsidR="00A333F5" w:rsidRDefault="00A333F5">
      <w:pPr>
        <w:jc w:val="center"/>
        <w:rPr>
          <w:rFonts w:cstheme="minorHAnsi"/>
          <w:b/>
          <w:bCs/>
          <w:color w:val="00B7D0"/>
          <w:sz w:val="32"/>
          <w:szCs w:val="32"/>
          <w:lang w:val="es-CR"/>
        </w:rPr>
      </w:pPr>
    </w:p>
    <w:p w14:paraId="01C49F3C" w14:textId="77777777" w:rsidR="00A333F5" w:rsidRDefault="00A333F5">
      <w:pPr>
        <w:jc w:val="center"/>
        <w:rPr>
          <w:rFonts w:cstheme="minorHAnsi"/>
          <w:b/>
          <w:bCs/>
          <w:color w:val="00B7D0"/>
          <w:sz w:val="32"/>
          <w:szCs w:val="32"/>
          <w:lang w:val="es-CR"/>
        </w:rPr>
      </w:pPr>
    </w:p>
    <w:p w14:paraId="653F3D25" w14:textId="785F797D" w:rsidR="00A502A0" w:rsidRPr="00A333F5" w:rsidRDefault="00000000">
      <w:pPr>
        <w:jc w:val="center"/>
        <w:rPr>
          <w:rFonts w:cstheme="minorHAnsi"/>
          <w:b/>
          <w:bCs/>
          <w:color w:val="00B7D0"/>
          <w:sz w:val="32"/>
          <w:szCs w:val="32"/>
          <w:lang w:val="es-CR"/>
        </w:rPr>
      </w:pPr>
      <w:r w:rsidRPr="00A333F5">
        <w:rPr>
          <w:rFonts w:cstheme="minorHAnsi"/>
          <w:b/>
          <w:bCs/>
          <w:color w:val="00B7D0"/>
          <w:sz w:val="32"/>
          <w:szCs w:val="32"/>
          <w:lang w:val="es-CR"/>
        </w:rPr>
        <w:t xml:space="preserve">Guía básica para el control del proceso de Compras Públicas de las Juntas de Educación y Juntas Administrativas </w:t>
      </w:r>
    </w:p>
    <w:p w14:paraId="46199420" w14:textId="77777777" w:rsidR="00A502A0" w:rsidRPr="00A333F5" w:rsidRDefault="00000000">
      <w:pPr>
        <w:jc w:val="center"/>
        <w:rPr>
          <w:rFonts w:cstheme="minorHAnsi"/>
          <w:b/>
          <w:bCs/>
          <w:color w:val="00B7D0"/>
          <w:sz w:val="24"/>
          <w:szCs w:val="24"/>
          <w:lang w:val="es-CR"/>
        </w:rPr>
      </w:pPr>
      <w:r w:rsidRPr="00A333F5">
        <w:rPr>
          <w:rFonts w:cstheme="minorHAnsi"/>
          <w:b/>
          <w:bCs/>
          <w:color w:val="00B7D0"/>
          <w:sz w:val="24"/>
          <w:szCs w:val="24"/>
          <w:lang w:val="es-CR"/>
        </w:rPr>
        <w:t>(Basada en la Ley N°9986 Ley General de Contratación Pública y su reglamento)</w:t>
      </w:r>
    </w:p>
    <w:p w14:paraId="5E5467BD" w14:textId="6F1D66C8" w:rsidR="00A502A0" w:rsidRDefault="00A502A0">
      <w:pPr>
        <w:jc w:val="center"/>
        <w:rPr>
          <w:rFonts w:cstheme="minorHAnsi"/>
          <w:b/>
          <w:bCs/>
          <w:color w:val="00B7D0"/>
          <w:sz w:val="32"/>
          <w:szCs w:val="32"/>
          <w:lang w:val="es-CR"/>
        </w:rPr>
      </w:pPr>
    </w:p>
    <w:p w14:paraId="55FD0A62" w14:textId="67842897" w:rsidR="00A333F5" w:rsidRDefault="00A333F5">
      <w:pPr>
        <w:jc w:val="center"/>
        <w:rPr>
          <w:rFonts w:cstheme="minorHAnsi"/>
          <w:b/>
          <w:bCs/>
          <w:color w:val="00B7D0"/>
          <w:sz w:val="32"/>
          <w:szCs w:val="32"/>
          <w:lang w:val="es-CR"/>
        </w:rPr>
      </w:pPr>
    </w:p>
    <w:p w14:paraId="541624A3" w14:textId="77777777" w:rsidR="00A333F5" w:rsidRPr="00A333F5" w:rsidRDefault="00A333F5">
      <w:pPr>
        <w:jc w:val="center"/>
        <w:rPr>
          <w:rFonts w:cstheme="minorHAnsi"/>
          <w:b/>
          <w:bCs/>
          <w:color w:val="00B7D0"/>
          <w:sz w:val="32"/>
          <w:szCs w:val="32"/>
          <w:lang w:val="es-CR"/>
        </w:rPr>
      </w:pPr>
    </w:p>
    <w:tbl>
      <w:tblPr>
        <w:tblStyle w:val="Tablaconcuadrculaclara"/>
        <w:tblpPr w:leftFromText="141" w:rightFromText="141" w:vertAnchor="text" w:tblpY="23"/>
        <w:tblW w:w="9781" w:type="dxa"/>
        <w:tblLayout w:type="fixed"/>
        <w:tblLook w:val="04A0" w:firstRow="1" w:lastRow="0" w:firstColumn="1" w:lastColumn="0" w:noHBand="0" w:noVBand="1"/>
      </w:tblPr>
      <w:tblGrid>
        <w:gridCol w:w="3972"/>
        <w:gridCol w:w="5809"/>
      </w:tblGrid>
      <w:tr w:rsidR="00A502A0" w:rsidRPr="00A333F5" w14:paraId="55720E42" w14:textId="77777777" w:rsidTr="00A333F5">
        <w:trPr>
          <w:trHeight w:val="600"/>
        </w:trPr>
        <w:tc>
          <w:tcPr>
            <w:tcW w:w="3972" w:type="dxa"/>
            <w:tcBorders>
              <w:top w:val="single" w:sz="4" w:space="0" w:color="000000"/>
              <w:left w:val="single" w:sz="4" w:space="0" w:color="000000"/>
              <w:bottom w:val="single" w:sz="4" w:space="0" w:color="auto"/>
              <w:right w:val="single" w:sz="4" w:space="0" w:color="auto"/>
            </w:tcBorders>
            <w:shd w:val="clear" w:color="auto" w:fill="F2F2F2" w:themeFill="background1" w:themeFillShade="F2"/>
            <w:vAlign w:val="center"/>
          </w:tcPr>
          <w:p w14:paraId="671CAEE0" w14:textId="77777777" w:rsidR="00A502A0" w:rsidRPr="00A333F5" w:rsidRDefault="00000000" w:rsidP="00A333F5">
            <w:pPr>
              <w:widowControl w:val="0"/>
              <w:contextualSpacing w:val="0"/>
              <w:rPr>
                <w:rFonts w:cstheme="minorHAnsi"/>
                <w:color w:val="000000"/>
                <w:sz w:val="24"/>
                <w:szCs w:val="24"/>
                <w:lang w:val="es-CR"/>
              </w:rPr>
            </w:pPr>
            <w:r w:rsidRPr="00A333F5">
              <w:rPr>
                <w:rFonts w:eastAsia="Calibri" w:cstheme="minorHAnsi"/>
                <w:color w:val="000000" w:themeColor="text1"/>
                <w:sz w:val="24"/>
                <w:szCs w:val="24"/>
                <w:lang w:val="es-CR"/>
              </w:rPr>
              <w:t>Código del Centro Educativo:</w:t>
            </w:r>
          </w:p>
        </w:tc>
        <w:tc>
          <w:tcPr>
            <w:tcW w:w="5809" w:type="dxa"/>
            <w:tcBorders>
              <w:top w:val="single" w:sz="4" w:space="0" w:color="000000"/>
              <w:left w:val="single" w:sz="4" w:space="0" w:color="auto"/>
              <w:bottom w:val="single" w:sz="4" w:space="0" w:color="auto"/>
              <w:right w:val="single" w:sz="4" w:space="0" w:color="000000"/>
            </w:tcBorders>
            <w:vAlign w:val="center"/>
          </w:tcPr>
          <w:p w14:paraId="526DB2D2" w14:textId="77777777" w:rsidR="00A502A0" w:rsidRPr="00A333F5" w:rsidRDefault="00A502A0">
            <w:pPr>
              <w:widowControl w:val="0"/>
              <w:contextualSpacing w:val="0"/>
              <w:rPr>
                <w:rFonts w:eastAsia="Calibri" w:cstheme="minorHAnsi"/>
                <w:color w:val="000000"/>
                <w:sz w:val="24"/>
                <w:szCs w:val="24"/>
                <w:lang w:val="es-CR"/>
              </w:rPr>
            </w:pPr>
          </w:p>
        </w:tc>
      </w:tr>
      <w:tr w:rsidR="00A502A0" w:rsidRPr="00A333F5" w14:paraId="07B7C151" w14:textId="77777777" w:rsidTr="00A333F5">
        <w:trPr>
          <w:trHeight w:val="600"/>
        </w:trPr>
        <w:tc>
          <w:tcPr>
            <w:tcW w:w="3972" w:type="dxa"/>
            <w:tcBorders>
              <w:top w:val="single" w:sz="4" w:space="0" w:color="auto"/>
              <w:left w:val="single" w:sz="4" w:space="0" w:color="000000"/>
              <w:bottom w:val="single" w:sz="4" w:space="0" w:color="auto"/>
              <w:right w:val="single" w:sz="4" w:space="0" w:color="auto"/>
            </w:tcBorders>
            <w:shd w:val="clear" w:color="auto" w:fill="F2F2F2" w:themeFill="background1" w:themeFillShade="F2"/>
            <w:vAlign w:val="center"/>
          </w:tcPr>
          <w:p w14:paraId="1399F05E" w14:textId="77777777" w:rsidR="00A502A0" w:rsidRPr="00A333F5" w:rsidRDefault="00000000" w:rsidP="00A333F5">
            <w:pPr>
              <w:widowControl w:val="0"/>
              <w:contextualSpacing w:val="0"/>
              <w:rPr>
                <w:rFonts w:cstheme="minorHAnsi"/>
                <w:color w:val="000000"/>
                <w:sz w:val="24"/>
                <w:szCs w:val="24"/>
                <w:lang w:val="es-CR"/>
              </w:rPr>
            </w:pPr>
            <w:r w:rsidRPr="00A333F5">
              <w:rPr>
                <w:rFonts w:eastAsia="Calibri" w:cstheme="minorHAnsi"/>
                <w:color w:val="000000" w:themeColor="text1"/>
                <w:sz w:val="24"/>
                <w:szCs w:val="24"/>
                <w:lang w:val="es-CR"/>
              </w:rPr>
              <w:t>Nombre de la Junta</w:t>
            </w:r>
          </w:p>
        </w:tc>
        <w:tc>
          <w:tcPr>
            <w:tcW w:w="5809" w:type="dxa"/>
            <w:tcBorders>
              <w:top w:val="single" w:sz="4" w:space="0" w:color="auto"/>
              <w:left w:val="single" w:sz="4" w:space="0" w:color="auto"/>
              <w:bottom w:val="single" w:sz="4" w:space="0" w:color="auto"/>
              <w:right w:val="single" w:sz="4" w:space="0" w:color="000000"/>
            </w:tcBorders>
            <w:vAlign w:val="center"/>
          </w:tcPr>
          <w:p w14:paraId="13A6F954" w14:textId="77777777" w:rsidR="00A502A0" w:rsidRPr="00A333F5" w:rsidRDefault="00A502A0">
            <w:pPr>
              <w:widowControl w:val="0"/>
              <w:contextualSpacing w:val="0"/>
              <w:rPr>
                <w:rFonts w:eastAsia="Calibri" w:cstheme="minorHAnsi"/>
                <w:color w:val="000000"/>
                <w:sz w:val="24"/>
                <w:szCs w:val="24"/>
                <w:lang w:val="es-CR"/>
              </w:rPr>
            </w:pPr>
          </w:p>
        </w:tc>
      </w:tr>
      <w:tr w:rsidR="00A502A0" w:rsidRPr="005F0468" w14:paraId="57698281" w14:textId="77777777" w:rsidTr="00A333F5">
        <w:trPr>
          <w:trHeight w:val="600"/>
        </w:trPr>
        <w:tc>
          <w:tcPr>
            <w:tcW w:w="3972" w:type="dxa"/>
            <w:tcBorders>
              <w:top w:val="single" w:sz="4" w:space="0" w:color="auto"/>
              <w:left w:val="single" w:sz="4" w:space="0" w:color="000000"/>
              <w:bottom w:val="single" w:sz="4" w:space="0" w:color="000000"/>
              <w:right w:val="single" w:sz="4" w:space="0" w:color="auto"/>
            </w:tcBorders>
            <w:shd w:val="clear" w:color="auto" w:fill="F2F2F2" w:themeFill="background1" w:themeFillShade="F2"/>
            <w:vAlign w:val="center"/>
          </w:tcPr>
          <w:p w14:paraId="2F8003F0" w14:textId="77777777" w:rsidR="00A502A0" w:rsidRPr="00A333F5" w:rsidRDefault="00000000" w:rsidP="00A333F5">
            <w:pPr>
              <w:widowControl w:val="0"/>
              <w:contextualSpacing w:val="0"/>
              <w:rPr>
                <w:rFonts w:cstheme="minorHAnsi"/>
                <w:color w:val="000000"/>
                <w:sz w:val="24"/>
                <w:szCs w:val="24"/>
                <w:lang w:val="es-CR"/>
              </w:rPr>
            </w:pPr>
            <w:r w:rsidRPr="00A333F5">
              <w:rPr>
                <w:rFonts w:eastAsia="Calibri" w:cstheme="minorHAnsi"/>
                <w:color w:val="000000" w:themeColor="text1"/>
                <w:sz w:val="24"/>
                <w:szCs w:val="24"/>
                <w:lang w:val="es-CR"/>
              </w:rPr>
              <w:t>Dirección Regional a la que pertenece el centro educativo</w:t>
            </w:r>
          </w:p>
          <w:p w14:paraId="5D23DAEA" w14:textId="77777777" w:rsidR="00A502A0" w:rsidRPr="00A333F5" w:rsidRDefault="00A502A0" w:rsidP="00A333F5">
            <w:pPr>
              <w:widowControl w:val="0"/>
              <w:contextualSpacing w:val="0"/>
              <w:rPr>
                <w:rFonts w:eastAsia="Calibri" w:cstheme="minorHAnsi"/>
                <w:color w:val="000000"/>
                <w:sz w:val="11"/>
                <w:szCs w:val="11"/>
                <w:lang w:val="es-CR"/>
              </w:rPr>
            </w:pPr>
          </w:p>
        </w:tc>
        <w:tc>
          <w:tcPr>
            <w:tcW w:w="5809" w:type="dxa"/>
            <w:tcBorders>
              <w:top w:val="single" w:sz="4" w:space="0" w:color="auto"/>
              <w:left w:val="single" w:sz="4" w:space="0" w:color="auto"/>
              <w:bottom w:val="single" w:sz="4" w:space="0" w:color="000000"/>
              <w:right w:val="single" w:sz="4" w:space="0" w:color="000000"/>
            </w:tcBorders>
            <w:vAlign w:val="center"/>
          </w:tcPr>
          <w:p w14:paraId="43921CD9" w14:textId="77777777" w:rsidR="00A502A0" w:rsidRPr="00A333F5" w:rsidRDefault="00A502A0">
            <w:pPr>
              <w:widowControl w:val="0"/>
              <w:contextualSpacing w:val="0"/>
              <w:rPr>
                <w:rFonts w:eastAsia="Calibri" w:cstheme="minorHAnsi"/>
                <w:color w:val="000000"/>
                <w:sz w:val="24"/>
                <w:szCs w:val="24"/>
                <w:lang w:val="es-CR"/>
              </w:rPr>
            </w:pPr>
          </w:p>
        </w:tc>
      </w:tr>
    </w:tbl>
    <w:p w14:paraId="05C06842" w14:textId="77777777" w:rsidR="00A502A0" w:rsidRPr="00A333F5" w:rsidRDefault="00A502A0">
      <w:pPr>
        <w:rPr>
          <w:rFonts w:cstheme="minorHAnsi"/>
          <w:lang w:val="es-CR"/>
        </w:rPr>
      </w:pPr>
    </w:p>
    <w:tbl>
      <w:tblPr>
        <w:tblStyle w:val="Tablaconcuadrcula"/>
        <w:tblpPr w:leftFromText="141" w:rightFromText="141" w:vertAnchor="text" w:horzAnchor="margin" w:tblpY="114"/>
        <w:tblW w:w="4828" w:type="pct"/>
        <w:tblLook w:val="04A0" w:firstRow="1" w:lastRow="0" w:firstColumn="1" w:lastColumn="0" w:noHBand="0" w:noVBand="1"/>
      </w:tblPr>
      <w:tblGrid>
        <w:gridCol w:w="3986"/>
        <w:gridCol w:w="5685"/>
      </w:tblGrid>
      <w:tr w:rsidR="00A502A0" w:rsidRPr="00A333F5" w14:paraId="6D4E05E6" w14:textId="77777777" w:rsidTr="00A333F5">
        <w:tc>
          <w:tcPr>
            <w:tcW w:w="2061" w:type="pct"/>
            <w:tcBorders>
              <w:bottom w:val="single" w:sz="4" w:space="0" w:color="auto"/>
              <w:right w:val="single" w:sz="4" w:space="0" w:color="auto"/>
            </w:tcBorders>
            <w:shd w:val="clear" w:color="auto" w:fill="F2F2F2" w:themeFill="background1" w:themeFillShade="F2"/>
            <w:vAlign w:val="center"/>
          </w:tcPr>
          <w:p w14:paraId="416C53D7" w14:textId="77777777" w:rsidR="00A502A0" w:rsidRPr="00A333F5" w:rsidRDefault="00000000" w:rsidP="00A333F5">
            <w:pPr>
              <w:widowControl w:val="0"/>
              <w:spacing w:before="240"/>
              <w:contextualSpacing w:val="0"/>
              <w:rPr>
                <w:rFonts w:cstheme="minorHAnsi"/>
                <w:sz w:val="24"/>
                <w:szCs w:val="24"/>
                <w:lang w:val="es-CR"/>
              </w:rPr>
            </w:pPr>
            <w:r w:rsidRPr="00A333F5">
              <w:rPr>
                <w:rFonts w:eastAsia="Calibri" w:cstheme="minorHAnsi"/>
                <w:sz w:val="24"/>
                <w:szCs w:val="24"/>
                <w:lang w:val="es-CR"/>
              </w:rPr>
              <w:t>Número de Contratación</w:t>
            </w:r>
          </w:p>
        </w:tc>
        <w:tc>
          <w:tcPr>
            <w:tcW w:w="2939" w:type="pct"/>
            <w:tcBorders>
              <w:left w:val="single" w:sz="4" w:space="0" w:color="auto"/>
              <w:bottom w:val="single" w:sz="4" w:space="0" w:color="auto"/>
            </w:tcBorders>
            <w:vAlign w:val="center"/>
          </w:tcPr>
          <w:p w14:paraId="73D92ADB" w14:textId="77777777" w:rsidR="00A502A0" w:rsidRPr="00A333F5" w:rsidRDefault="00A502A0" w:rsidP="00A333F5">
            <w:pPr>
              <w:widowControl w:val="0"/>
              <w:spacing w:before="240"/>
              <w:contextualSpacing w:val="0"/>
              <w:rPr>
                <w:rFonts w:eastAsia="Calibri" w:cstheme="minorHAnsi"/>
                <w:color w:val="000000"/>
                <w:sz w:val="24"/>
                <w:szCs w:val="24"/>
                <w:lang w:val="es-CR"/>
              </w:rPr>
            </w:pPr>
          </w:p>
        </w:tc>
      </w:tr>
      <w:tr w:rsidR="00A502A0" w:rsidRPr="00A333F5" w14:paraId="6046B48C" w14:textId="77777777" w:rsidTr="00A333F5">
        <w:tc>
          <w:tcPr>
            <w:tcW w:w="2061" w:type="pct"/>
            <w:tcBorders>
              <w:top w:val="single" w:sz="4" w:space="0" w:color="auto"/>
              <w:bottom w:val="single" w:sz="4" w:space="0" w:color="auto"/>
              <w:right w:val="single" w:sz="4" w:space="0" w:color="auto"/>
            </w:tcBorders>
            <w:shd w:val="clear" w:color="auto" w:fill="F2F2F2" w:themeFill="background1" w:themeFillShade="F2"/>
            <w:vAlign w:val="center"/>
          </w:tcPr>
          <w:p w14:paraId="65452996" w14:textId="77777777" w:rsidR="00A502A0" w:rsidRPr="00A333F5" w:rsidRDefault="00000000" w:rsidP="00A333F5">
            <w:pPr>
              <w:widowControl w:val="0"/>
              <w:spacing w:before="240"/>
              <w:contextualSpacing w:val="0"/>
              <w:rPr>
                <w:rFonts w:cstheme="minorHAnsi"/>
                <w:sz w:val="24"/>
                <w:szCs w:val="24"/>
                <w:lang w:val="es-CR"/>
              </w:rPr>
            </w:pPr>
            <w:r w:rsidRPr="00A333F5">
              <w:rPr>
                <w:rFonts w:eastAsia="Calibri" w:cstheme="minorHAnsi"/>
                <w:sz w:val="24"/>
                <w:szCs w:val="24"/>
                <w:lang w:val="es-CR"/>
              </w:rPr>
              <w:t>Objeto de la Contratación</w:t>
            </w:r>
          </w:p>
        </w:tc>
        <w:tc>
          <w:tcPr>
            <w:tcW w:w="2939" w:type="pct"/>
            <w:tcBorders>
              <w:top w:val="single" w:sz="4" w:space="0" w:color="auto"/>
              <w:left w:val="single" w:sz="4" w:space="0" w:color="auto"/>
              <w:bottom w:val="single" w:sz="4" w:space="0" w:color="auto"/>
            </w:tcBorders>
            <w:vAlign w:val="center"/>
          </w:tcPr>
          <w:p w14:paraId="29594206" w14:textId="77777777" w:rsidR="00A502A0" w:rsidRPr="00A333F5" w:rsidRDefault="00A502A0" w:rsidP="00A333F5">
            <w:pPr>
              <w:widowControl w:val="0"/>
              <w:spacing w:before="240"/>
              <w:contextualSpacing w:val="0"/>
              <w:rPr>
                <w:rFonts w:eastAsia="Calibri" w:cstheme="minorHAnsi"/>
                <w:color w:val="000000"/>
                <w:sz w:val="24"/>
                <w:szCs w:val="24"/>
                <w:lang w:val="es-CR"/>
              </w:rPr>
            </w:pPr>
          </w:p>
        </w:tc>
      </w:tr>
      <w:tr w:rsidR="00A502A0" w:rsidRPr="005F0468" w14:paraId="163EE6E6" w14:textId="77777777" w:rsidTr="00A333F5">
        <w:tc>
          <w:tcPr>
            <w:tcW w:w="2061" w:type="pct"/>
            <w:tcBorders>
              <w:top w:val="single" w:sz="4" w:space="0" w:color="auto"/>
              <w:bottom w:val="single" w:sz="4" w:space="0" w:color="auto"/>
              <w:right w:val="single" w:sz="4" w:space="0" w:color="auto"/>
            </w:tcBorders>
            <w:shd w:val="clear" w:color="auto" w:fill="F2F2F2" w:themeFill="background1" w:themeFillShade="F2"/>
            <w:vAlign w:val="center"/>
          </w:tcPr>
          <w:p w14:paraId="13894CEF" w14:textId="77777777" w:rsidR="00A502A0" w:rsidRPr="00A333F5" w:rsidRDefault="00000000" w:rsidP="00A333F5">
            <w:pPr>
              <w:widowControl w:val="0"/>
              <w:spacing w:before="240"/>
              <w:contextualSpacing w:val="0"/>
              <w:rPr>
                <w:rFonts w:eastAsia="Calibri" w:cstheme="minorHAnsi"/>
                <w:lang w:val="es-CR"/>
              </w:rPr>
            </w:pPr>
            <w:r w:rsidRPr="00A333F5">
              <w:rPr>
                <w:rFonts w:eastAsia="Calibri" w:cstheme="minorHAnsi"/>
                <w:sz w:val="24"/>
                <w:szCs w:val="24"/>
                <w:lang w:val="es-CR"/>
              </w:rPr>
              <w:t>Nº Sesión de la Junta en donde se aprueba en firme el inicio de la contratación pública.</w:t>
            </w:r>
          </w:p>
        </w:tc>
        <w:tc>
          <w:tcPr>
            <w:tcW w:w="2939" w:type="pct"/>
            <w:tcBorders>
              <w:top w:val="single" w:sz="4" w:space="0" w:color="auto"/>
              <w:left w:val="single" w:sz="4" w:space="0" w:color="auto"/>
              <w:bottom w:val="single" w:sz="4" w:space="0" w:color="auto"/>
            </w:tcBorders>
            <w:vAlign w:val="center"/>
          </w:tcPr>
          <w:p w14:paraId="155919C9" w14:textId="77777777" w:rsidR="00A502A0" w:rsidRPr="00A333F5" w:rsidRDefault="00A502A0" w:rsidP="00A333F5">
            <w:pPr>
              <w:widowControl w:val="0"/>
              <w:spacing w:before="240"/>
              <w:contextualSpacing w:val="0"/>
              <w:rPr>
                <w:rFonts w:eastAsia="Calibri" w:cstheme="minorHAnsi"/>
                <w:color w:val="000000"/>
                <w:sz w:val="24"/>
                <w:szCs w:val="24"/>
                <w:lang w:val="es-CR"/>
              </w:rPr>
            </w:pPr>
          </w:p>
        </w:tc>
      </w:tr>
      <w:tr w:rsidR="00A502A0" w:rsidRPr="005F0468" w14:paraId="118D7776" w14:textId="77777777" w:rsidTr="00A333F5">
        <w:tc>
          <w:tcPr>
            <w:tcW w:w="2061" w:type="pct"/>
            <w:tcBorders>
              <w:top w:val="single" w:sz="4" w:space="0" w:color="auto"/>
              <w:bottom w:val="single" w:sz="4" w:space="0" w:color="auto"/>
              <w:right w:val="single" w:sz="4" w:space="0" w:color="auto"/>
            </w:tcBorders>
            <w:shd w:val="clear" w:color="auto" w:fill="F2F2F2" w:themeFill="background1" w:themeFillShade="F2"/>
            <w:vAlign w:val="center"/>
          </w:tcPr>
          <w:p w14:paraId="062CC5D9" w14:textId="174D0470" w:rsidR="00A333F5" w:rsidRPr="00A333F5" w:rsidRDefault="00000000" w:rsidP="00A333F5">
            <w:pPr>
              <w:widowControl w:val="0"/>
              <w:spacing w:before="240"/>
              <w:contextualSpacing w:val="0"/>
              <w:rPr>
                <w:rFonts w:eastAsia="Calibri" w:cstheme="minorHAnsi"/>
                <w:sz w:val="24"/>
                <w:szCs w:val="24"/>
                <w:lang w:val="es-CR"/>
              </w:rPr>
            </w:pPr>
            <w:r w:rsidRPr="00A333F5">
              <w:rPr>
                <w:rFonts w:eastAsia="Calibri" w:cstheme="minorHAnsi"/>
                <w:sz w:val="24"/>
                <w:szCs w:val="24"/>
                <w:lang w:val="es-CR"/>
              </w:rPr>
              <w:t>N.º Acuerdo de Junta en donde se aprueba el inicio de la contratación pública.</w:t>
            </w:r>
          </w:p>
        </w:tc>
        <w:tc>
          <w:tcPr>
            <w:tcW w:w="2939" w:type="pct"/>
            <w:tcBorders>
              <w:top w:val="single" w:sz="4" w:space="0" w:color="auto"/>
              <w:left w:val="single" w:sz="4" w:space="0" w:color="auto"/>
              <w:bottom w:val="single" w:sz="4" w:space="0" w:color="auto"/>
            </w:tcBorders>
            <w:vAlign w:val="center"/>
          </w:tcPr>
          <w:p w14:paraId="7EAEC376" w14:textId="77777777" w:rsidR="00A502A0" w:rsidRPr="00A333F5" w:rsidRDefault="00A502A0" w:rsidP="00A333F5">
            <w:pPr>
              <w:widowControl w:val="0"/>
              <w:spacing w:before="240"/>
              <w:contextualSpacing w:val="0"/>
              <w:rPr>
                <w:rFonts w:eastAsia="Calibri" w:cstheme="minorHAnsi"/>
                <w:color w:val="000000"/>
                <w:sz w:val="24"/>
                <w:szCs w:val="24"/>
                <w:lang w:val="es-CR"/>
              </w:rPr>
            </w:pPr>
          </w:p>
        </w:tc>
      </w:tr>
      <w:tr w:rsidR="00A502A0" w:rsidRPr="005F0468" w14:paraId="5491B441" w14:textId="77777777" w:rsidTr="00A333F5">
        <w:tc>
          <w:tcPr>
            <w:tcW w:w="2061" w:type="pct"/>
            <w:tcBorders>
              <w:top w:val="single" w:sz="4" w:space="0" w:color="auto"/>
              <w:right w:val="single" w:sz="4" w:space="0" w:color="auto"/>
            </w:tcBorders>
            <w:shd w:val="clear" w:color="auto" w:fill="F2F2F2" w:themeFill="background1" w:themeFillShade="F2"/>
            <w:vAlign w:val="center"/>
          </w:tcPr>
          <w:p w14:paraId="7B2CAB6D" w14:textId="77777777" w:rsidR="00A502A0" w:rsidRPr="00A333F5" w:rsidRDefault="00000000" w:rsidP="00A333F5">
            <w:pPr>
              <w:widowControl w:val="0"/>
              <w:spacing w:before="240"/>
              <w:ind w:left="708" w:hanging="708"/>
              <w:contextualSpacing w:val="0"/>
              <w:rPr>
                <w:rFonts w:eastAsia="Calibri" w:cstheme="minorHAnsi"/>
                <w:lang w:val="es-CR"/>
              </w:rPr>
            </w:pPr>
            <w:r w:rsidRPr="00A333F5">
              <w:rPr>
                <w:rFonts w:eastAsia="Calibri" w:cstheme="minorHAnsi"/>
                <w:sz w:val="24"/>
                <w:szCs w:val="24"/>
                <w:lang w:val="es-CR"/>
              </w:rPr>
              <w:t>Fecha de sesión de la Junta</w:t>
            </w:r>
          </w:p>
          <w:p w14:paraId="7BB97253" w14:textId="77777777" w:rsidR="00A502A0" w:rsidRPr="00A333F5" w:rsidRDefault="00A502A0" w:rsidP="00A333F5">
            <w:pPr>
              <w:widowControl w:val="0"/>
              <w:spacing w:before="240"/>
              <w:ind w:left="708" w:hanging="708"/>
              <w:contextualSpacing w:val="0"/>
              <w:rPr>
                <w:rFonts w:eastAsia="Calibri" w:cstheme="minorHAnsi"/>
                <w:sz w:val="2"/>
                <w:szCs w:val="2"/>
                <w:lang w:val="es-CR"/>
              </w:rPr>
            </w:pPr>
          </w:p>
        </w:tc>
        <w:tc>
          <w:tcPr>
            <w:tcW w:w="2939" w:type="pct"/>
            <w:tcBorders>
              <w:top w:val="single" w:sz="4" w:space="0" w:color="auto"/>
              <w:left w:val="single" w:sz="4" w:space="0" w:color="auto"/>
            </w:tcBorders>
            <w:vAlign w:val="center"/>
          </w:tcPr>
          <w:p w14:paraId="1463D291" w14:textId="77777777" w:rsidR="00A502A0" w:rsidRPr="00A333F5" w:rsidRDefault="00A502A0" w:rsidP="00A333F5">
            <w:pPr>
              <w:widowControl w:val="0"/>
              <w:spacing w:before="240"/>
              <w:contextualSpacing w:val="0"/>
              <w:rPr>
                <w:rFonts w:eastAsia="Calibri" w:cstheme="minorHAnsi"/>
                <w:color w:val="000000"/>
                <w:sz w:val="24"/>
                <w:szCs w:val="24"/>
                <w:lang w:val="es-CR"/>
              </w:rPr>
            </w:pPr>
          </w:p>
        </w:tc>
      </w:tr>
    </w:tbl>
    <w:p w14:paraId="74BD0890" w14:textId="77777777" w:rsidR="00A502A0" w:rsidRPr="00A333F5" w:rsidRDefault="00A502A0">
      <w:pPr>
        <w:rPr>
          <w:rFonts w:cstheme="minorHAnsi"/>
          <w:b/>
          <w:bCs/>
          <w:color w:val="01568A"/>
          <w:lang w:val="es-CR"/>
        </w:rPr>
      </w:pPr>
    </w:p>
    <w:p w14:paraId="12FE6C2F" w14:textId="77777777" w:rsidR="00A502A0" w:rsidRPr="00A333F5" w:rsidRDefault="00A502A0">
      <w:pPr>
        <w:rPr>
          <w:rFonts w:cstheme="minorHAnsi"/>
          <w:b/>
          <w:bCs/>
          <w:color w:val="01568A"/>
          <w:lang w:val="es-CR"/>
        </w:rPr>
      </w:pPr>
    </w:p>
    <w:p w14:paraId="77CE563D" w14:textId="77777777" w:rsidR="00A333F5" w:rsidRDefault="00A333F5">
      <w:pPr>
        <w:rPr>
          <w:rFonts w:cstheme="minorHAnsi"/>
          <w:b/>
          <w:bCs/>
          <w:color w:val="01568A"/>
          <w:sz w:val="20"/>
          <w:szCs w:val="20"/>
          <w:lang w:val="es-CR"/>
        </w:rPr>
      </w:pPr>
    </w:p>
    <w:p w14:paraId="4A65396F" w14:textId="03076FAE" w:rsidR="00A333F5" w:rsidRDefault="00A333F5">
      <w:pPr>
        <w:rPr>
          <w:rFonts w:cstheme="minorHAnsi"/>
          <w:b/>
          <w:bCs/>
          <w:color w:val="01568A"/>
          <w:sz w:val="20"/>
          <w:szCs w:val="20"/>
          <w:lang w:val="es-CR"/>
        </w:rPr>
      </w:pPr>
      <w:r>
        <w:rPr>
          <w:rFonts w:cstheme="minorHAnsi"/>
          <w:b/>
          <w:bCs/>
          <w:color w:val="01568A"/>
          <w:sz w:val="20"/>
          <w:szCs w:val="20"/>
          <w:lang w:val="es-CR"/>
        </w:rPr>
        <w:br w:type="page"/>
      </w:r>
    </w:p>
    <w:p w14:paraId="4F5420A8" w14:textId="77777777" w:rsidR="00A333F5" w:rsidRDefault="00A333F5">
      <w:pPr>
        <w:rPr>
          <w:rFonts w:cstheme="minorHAnsi"/>
          <w:b/>
          <w:bCs/>
          <w:color w:val="01568A"/>
          <w:sz w:val="20"/>
          <w:szCs w:val="20"/>
          <w:lang w:val="es-CR"/>
        </w:rPr>
      </w:pPr>
    </w:p>
    <w:p w14:paraId="458901E5" w14:textId="41CF57B9" w:rsidR="00A502A0" w:rsidRPr="00A333F5" w:rsidRDefault="00000000">
      <w:pPr>
        <w:rPr>
          <w:rFonts w:cstheme="minorHAnsi"/>
          <w:sz w:val="20"/>
          <w:szCs w:val="20"/>
          <w:lang w:val="es-CR"/>
        </w:rPr>
      </w:pPr>
      <w:r w:rsidRPr="00A333F5">
        <w:rPr>
          <w:rFonts w:cstheme="minorHAnsi"/>
          <w:b/>
          <w:bCs/>
          <w:color w:val="01568A"/>
          <w:sz w:val="20"/>
          <w:szCs w:val="20"/>
          <w:lang w:val="es-CR"/>
        </w:rPr>
        <w:t xml:space="preserve">Artículos de la Ley y su Reglamento importantes a considerar (entre otros): </w:t>
      </w:r>
    </w:p>
    <w:p w14:paraId="341A7839" w14:textId="77777777" w:rsidR="00A502A0" w:rsidRPr="00A333F5" w:rsidRDefault="00A502A0">
      <w:pPr>
        <w:rPr>
          <w:rFonts w:cstheme="minorHAnsi"/>
          <w:b/>
          <w:bCs/>
          <w:color w:val="01568A"/>
          <w:lang w:val="es-CR"/>
        </w:rPr>
      </w:pPr>
    </w:p>
    <w:p w14:paraId="7682E7DD" w14:textId="77777777" w:rsidR="00A502A0" w:rsidRPr="00A333F5" w:rsidRDefault="00000000">
      <w:pPr>
        <w:rPr>
          <w:rFonts w:cstheme="minorHAnsi"/>
          <w:color w:val="161616"/>
          <w:sz w:val="18"/>
          <w:szCs w:val="18"/>
          <w:lang w:val="es-CR"/>
        </w:rPr>
      </w:pPr>
      <w:r w:rsidRPr="00A333F5">
        <w:rPr>
          <w:rFonts w:cstheme="minorHAnsi"/>
          <w:color w:val="161616"/>
          <w:sz w:val="18"/>
          <w:szCs w:val="18"/>
          <w:lang w:val="es-CR"/>
        </w:rPr>
        <w:t>LEY N°9986 “ARTÍCULO 2- Exclusiones de la aplicación de la ley. Se excluyen del alcance de la presente ley las siguientes actividades:</w:t>
      </w:r>
    </w:p>
    <w:p w14:paraId="1705FC3A" w14:textId="77777777" w:rsidR="00A502A0" w:rsidRPr="00A333F5" w:rsidRDefault="00000000">
      <w:pPr>
        <w:rPr>
          <w:rFonts w:cstheme="minorHAnsi"/>
          <w:color w:val="161616"/>
          <w:sz w:val="18"/>
          <w:szCs w:val="18"/>
          <w:lang w:val="es-CR"/>
        </w:rPr>
      </w:pPr>
      <w:r w:rsidRPr="00A333F5">
        <w:rPr>
          <w:rFonts w:cstheme="minorHAnsi"/>
          <w:color w:val="161616"/>
          <w:sz w:val="18"/>
          <w:szCs w:val="18"/>
          <w:lang w:val="es-CR"/>
        </w:rPr>
        <w:t>(...)</w:t>
      </w:r>
    </w:p>
    <w:p w14:paraId="5BAA091F" w14:textId="77777777" w:rsidR="00A502A0" w:rsidRPr="00A333F5" w:rsidRDefault="00000000">
      <w:pPr>
        <w:rPr>
          <w:rFonts w:cstheme="minorHAnsi"/>
          <w:color w:val="161616"/>
          <w:sz w:val="24"/>
          <w:szCs w:val="20"/>
          <w:lang w:val="es-CR"/>
        </w:rPr>
      </w:pPr>
      <w:r w:rsidRPr="00A333F5">
        <w:rPr>
          <w:rFonts w:cstheme="minorHAnsi"/>
          <w:color w:val="161616"/>
          <w:sz w:val="18"/>
          <w:szCs w:val="18"/>
          <w:lang w:val="es-CR"/>
        </w:rPr>
        <w:t>h) La adquisición de combustible</w:t>
      </w:r>
    </w:p>
    <w:p w14:paraId="252CD21D" w14:textId="77777777" w:rsidR="00A502A0" w:rsidRPr="00A333F5" w:rsidRDefault="00000000">
      <w:pPr>
        <w:rPr>
          <w:rFonts w:cstheme="minorHAnsi"/>
          <w:color w:val="161616"/>
          <w:sz w:val="24"/>
          <w:szCs w:val="20"/>
          <w:lang w:val="es-CR"/>
        </w:rPr>
      </w:pPr>
      <w:r w:rsidRPr="00A333F5">
        <w:rPr>
          <w:rFonts w:cstheme="minorHAnsi"/>
          <w:color w:val="161616"/>
          <w:sz w:val="18"/>
          <w:szCs w:val="18"/>
          <w:lang w:val="es-CR"/>
        </w:rPr>
        <w:t>(…)”.</w:t>
      </w:r>
    </w:p>
    <w:p w14:paraId="438572EF" w14:textId="77777777" w:rsidR="00A502A0" w:rsidRPr="00A333F5" w:rsidRDefault="00A502A0">
      <w:pPr>
        <w:rPr>
          <w:rFonts w:cstheme="minorHAnsi"/>
          <w:color w:val="161616"/>
          <w:sz w:val="24"/>
          <w:szCs w:val="20"/>
          <w:lang w:val="es-CR"/>
        </w:rPr>
      </w:pPr>
    </w:p>
    <w:p w14:paraId="719710D7" w14:textId="77777777" w:rsidR="00A502A0" w:rsidRPr="00A333F5" w:rsidRDefault="00000000">
      <w:pPr>
        <w:rPr>
          <w:rFonts w:cstheme="minorHAnsi"/>
          <w:color w:val="161616"/>
          <w:sz w:val="24"/>
          <w:szCs w:val="20"/>
          <w:lang w:val="es-CR"/>
        </w:rPr>
      </w:pPr>
      <w:r w:rsidRPr="00A333F5">
        <w:rPr>
          <w:rFonts w:cstheme="minorHAnsi"/>
          <w:color w:val="161616"/>
          <w:sz w:val="18"/>
          <w:szCs w:val="18"/>
          <w:lang w:val="es-CR"/>
        </w:rPr>
        <w:t>Ver también Artículo 2 del Reglamento.</w:t>
      </w:r>
    </w:p>
    <w:p w14:paraId="4B6DF606" w14:textId="77777777" w:rsidR="00A502A0" w:rsidRPr="00A333F5" w:rsidRDefault="00A502A0">
      <w:pPr>
        <w:rPr>
          <w:rFonts w:cstheme="minorHAnsi"/>
          <w:color w:val="161616"/>
          <w:sz w:val="18"/>
          <w:szCs w:val="18"/>
          <w:lang w:val="es-CR"/>
        </w:rPr>
      </w:pPr>
    </w:p>
    <w:p w14:paraId="54843000" w14:textId="77777777" w:rsidR="00A502A0" w:rsidRPr="00A333F5" w:rsidRDefault="00000000">
      <w:pPr>
        <w:rPr>
          <w:rFonts w:cstheme="minorHAnsi"/>
          <w:color w:val="161616"/>
          <w:sz w:val="18"/>
          <w:szCs w:val="18"/>
          <w:lang w:val="es-CR"/>
        </w:rPr>
      </w:pPr>
      <w:r w:rsidRPr="00A333F5">
        <w:rPr>
          <w:rFonts w:cstheme="minorHAnsi"/>
          <w:color w:val="161616"/>
          <w:sz w:val="18"/>
          <w:szCs w:val="18"/>
          <w:lang w:val="es-CR"/>
        </w:rPr>
        <w:t>LEY N°9986 “ARTÍCULO 3- Excepciones (ver también el Artículo 4 si se va a usar esta figura).</w:t>
      </w:r>
    </w:p>
    <w:p w14:paraId="6E325873" w14:textId="77777777" w:rsidR="00A502A0" w:rsidRPr="00A333F5" w:rsidRDefault="00000000">
      <w:pPr>
        <w:rPr>
          <w:rFonts w:cstheme="minorHAnsi"/>
          <w:color w:val="161616"/>
          <w:sz w:val="18"/>
          <w:szCs w:val="18"/>
          <w:lang w:val="es-CR"/>
        </w:rPr>
      </w:pPr>
      <w:r w:rsidRPr="00A333F5">
        <w:rPr>
          <w:rFonts w:cstheme="minorHAnsi"/>
          <w:color w:val="161616"/>
          <w:sz w:val="18"/>
          <w:szCs w:val="18"/>
          <w:lang w:val="es-CR"/>
        </w:rPr>
        <w:t>Se exceptúan de los procedimientos ordinarios establecidos en esta ley únicamente las siguientes actividades:</w:t>
      </w:r>
    </w:p>
    <w:p w14:paraId="1C781590" w14:textId="77777777" w:rsidR="00A502A0" w:rsidRPr="00A333F5" w:rsidRDefault="00000000">
      <w:pPr>
        <w:rPr>
          <w:rFonts w:cstheme="minorHAnsi"/>
          <w:color w:val="161616"/>
          <w:sz w:val="18"/>
          <w:szCs w:val="18"/>
          <w:lang w:val="es-CR"/>
        </w:rPr>
      </w:pPr>
      <w:r w:rsidRPr="00A333F5">
        <w:rPr>
          <w:rFonts w:cstheme="minorHAnsi"/>
          <w:color w:val="161616"/>
          <w:sz w:val="18"/>
          <w:szCs w:val="18"/>
          <w:lang w:val="es-CR"/>
        </w:rPr>
        <w:t>(...)</w:t>
      </w:r>
    </w:p>
    <w:p w14:paraId="45DFEA70" w14:textId="77777777" w:rsidR="00A502A0" w:rsidRPr="00A333F5" w:rsidRDefault="00000000">
      <w:pPr>
        <w:jc w:val="both"/>
        <w:rPr>
          <w:rFonts w:cstheme="minorHAnsi"/>
          <w:color w:val="161616"/>
          <w:sz w:val="18"/>
          <w:szCs w:val="18"/>
          <w:lang w:val="es-CR"/>
        </w:rPr>
      </w:pPr>
      <w:r w:rsidRPr="00A333F5">
        <w:rPr>
          <w:rFonts w:cstheme="minorHAnsi"/>
          <w:color w:val="161616"/>
          <w:sz w:val="18"/>
          <w:szCs w:val="18"/>
          <w:lang w:val="es-CR"/>
        </w:rPr>
        <w:t>c) Cuando se determine que existe un proveedor único, lo cual deberá estar precedido tanto de una verificación en el sistema digital unificado, que así lo acredite, como de un estudio de mercado, y de una invitación que debe ser realizada en dicho sistema por el plazo mínimo de tres días hábiles a fin de conocer si existe más de un potencial oferente para proveer el objeto contractual y verificar así la unicidad. De existir más de un eventual proveedor, se deberá realizar el procedimiento correspondiente. Para el uso de esta excepción no se podrán alegar razones de conveniencia, ya que solo es posible utilizarla una vez comprobada la unicidad. No se considerará proveedor único, entre otros, el desarrollo de sistemas de información ni la adquisición de partes de tecnología que se agreguen a una existente, cuando aquella haya cumplido su vida útil.</w:t>
      </w:r>
    </w:p>
    <w:p w14:paraId="3A319C36" w14:textId="77777777" w:rsidR="00A502A0" w:rsidRPr="00A333F5" w:rsidRDefault="00000000">
      <w:pPr>
        <w:jc w:val="both"/>
        <w:rPr>
          <w:rFonts w:cstheme="minorHAnsi"/>
          <w:color w:val="161616"/>
          <w:sz w:val="18"/>
          <w:szCs w:val="18"/>
          <w:lang w:val="es-CR"/>
        </w:rPr>
      </w:pPr>
      <w:r w:rsidRPr="00A333F5">
        <w:rPr>
          <w:rFonts w:cstheme="minorHAnsi"/>
          <w:color w:val="161616"/>
          <w:sz w:val="18"/>
          <w:szCs w:val="18"/>
          <w:lang w:val="es-CR"/>
        </w:rPr>
        <w:t>(...)</w:t>
      </w:r>
    </w:p>
    <w:p w14:paraId="1C428F13" w14:textId="77777777" w:rsidR="00A502A0" w:rsidRPr="00A333F5" w:rsidRDefault="00000000">
      <w:pPr>
        <w:jc w:val="both"/>
        <w:rPr>
          <w:rFonts w:cstheme="minorHAnsi"/>
          <w:color w:val="161616"/>
          <w:sz w:val="18"/>
          <w:szCs w:val="18"/>
          <w:lang w:val="es-CR"/>
        </w:rPr>
      </w:pPr>
      <w:r w:rsidRPr="00A333F5">
        <w:rPr>
          <w:rFonts w:cstheme="minorHAnsi"/>
          <w:color w:val="161616"/>
          <w:sz w:val="18"/>
          <w:szCs w:val="18"/>
          <w:lang w:val="es-CR"/>
        </w:rPr>
        <w:t>e) Contratación de capacitación abierta entendida como aquella donde media invitación al público en general.</w:t>
      </w:r>
    </w:p>
    <w:p w14:paraId="40777C02" w14:textId="77777777" w:rsidR="00A502A0" w:rsidRPr="00A333F5" w:rsidRDefault="00000000">
      <w:pPr>
        <w:jc w:val="both"/>
        <w:rPr>
          <w:rFonts w:cstheme="minorHAnsi"/>
          <w:color w:val="161616"/>
          <w:sz w:val="18"/>
          <w:szCs w:val="18"/>
          <w:lang w:val="es-CR"/>
        </w:rPr>
      </w:pPr>
      <w:r w:rsidRPr="00A333F5">
        <w:rPr>
          <w:rFonts w:cstheme="minorHAnsi"/>
          <w:color w:val="161616"/>
          <w:sz w:val="18"/>
          <w:szCs w:val="18"/>
          <w:lang w:val="es-CR"/>
        </w:rPr>
        <w:t>(...)</w:t>
      </w:r>
    </w:p>
    <w:p w14:paraId="42DD23BB" w14:textId="77777777" w:rsidR="00A502A0" w:rsidRPr="00A333F5" w:rsidRDefault="00000000">
      <w:pPr>
        <w:jc w:val="both"/>
        <w:rPr>
          <w:rFonts w:cstheme="minorHAnsi"/>
          <w:color w:val="161616"/>
          <w:sz w:val="18"/>
          <w:szCs w:val="18"/>
          <w:lang w:val="es-CR"/>
        </w:rPr>
      </w:pPr>
      <w:r w:rsidRPr="00A333F5">
        <w:rPr>
          <w:rFonts w:cstheme="minorHAnsi"/>
          <w:color w:val="161616"/>
          <w:sz w:val="18"/>
          <w:szCs w:val="18"/>
          <w:lang w:val="es-CR"/>
        </w:rPr>
        <w:t>g) Las compras realizadas con fondos de caja chica que sean indispensables e impostergables, siempre y cuando no excedan el diez por ciento (10%) del monto fijado para la licitación reducida, conforme lo disponga el reglamento de esta ley.</w:t>
      </w:r>
    </w:p>
    <w:p w14:paraId="38B08FF4" w14:textId="77777777" w:rsidR="00A502A0" w:rsidRPr="00A333F5" w:rsidRDefault="00000000">
      <w:pPr>
        <w:jc w:val="both"/>
        <w:rPr>
          <w:rFonts w:cstheme="minorHAnsi"/>
          <w:color w:val="161616"/>
          <w:sz w:val="18"/>
          <w:szCs w:val="18"/>
          <w:lang w:val="es-CR"/>
        </w:rPr>
      </w:pPr>
      <w:r w:rsidRPr="00A333F5">
        <w:rPr>
          <w:rFonts w:cstheme="minorHAnsi"/>
          <w:color w:val="161616"/>
          <w:sz w:val="18"/>
          <w:szCs w:val="18"/>
          <w:lang w:val="es-CR"/>
        </w:rPr>
        <w:t>(...)</w:t>
      </w:r>
    </w:p>
    <w:p w14:paraId="688F675E" w14:textId="77777777" w:rsidR="00A502A0" w:rsidRPr="00A333F5" w:rsidRDefault="00000000">
      <w:pPr>
        <w:jc w:val="both"/>
        <w:rPr>
          <w:rFonts w:cstheme="minorHAnsi"/>
          <w:color w:val="161616"/>
          <w:sz w:val="18"/>
          <w:szCs w:val="18"/>
          <w:lang w:val="es-CR"/>
        </w:rPr>
      </w:pPr>
      <w:r w:rsidRPr="00A333F5">
        <w:rPr>
          <w:rFonts w:cstheme="minorHAnsi"/>
          <w:color w:val="161616"/>
          <w:sz w:val="18"/>
          <w:szCs w:val="18"/>
          <w:lang w:val="es-CR"/>
        </w:rPr>
        <w:t xml:space="preserve">i) La contratación de bienes o servicios artísticos, culturales e intelectuales que por su naturaleza </w:t>
      </w:r>
      <w:r w:rsidRPr="00A333F5">
        <w:rPr>
          <w:rFonts w:cstheme="minorHAnsi"/>
          <w:i/>
          <w:color w:val="161616"/>
          <w:sz w:val="18"/>
          <w:szCs w:val="18"/>
          <w:lang w:val="es-CR"/>
        </w:rPr>
        <w:t xml:space="preserve">intuitu personae </w:t>
      </w:r>
      <w:r w:rsidRPr="00A333F5">
        <w:rPr>
          <w:rFonts w:cstheme="minorHAnsi"/>
          <w:color w:val="161616"/>
          <w:sz w:val="18"/>
          <w:szCs w:val="18"/>
          <w:lang w:val="es-CR"/>
        </w:rPr>
        <w:t>y/o especialidad, sean incompatibles con los procedimientos ordinarios establecidos en la presente ley o su contratación no sea posible llevarla a cabo mediante un registro precalificado de oferente, todo conforme a lo que determine el reglamento.</w:t>
      </w:r>
    </w:p>
    <w:p w14:paraId="607D7848" w14:textId="77777777" w:rsidR="00A502A0" w:rsidRPr="00A333F5" w:rsidRDefault="00A502A0">
      <w:pPr>
        <w:jc w:val="both"/>
        <w:rPr>
          <w:rFonts w:cstheme="minorHAnsi"/>
          <w:color w:val="161616"/>
          <w:sz w:val="18"/>
          <w:szCs w:val="18"/>
          <w:lang w:val="es-CR"/>
        </w:rPr>
      </w:pPr>
    </w:p>
    <w:p w14:paraId="487C5B04" w14:textId="77777777" w:rsidR="00A502A0" w:rsidRPr="00A333F5" w:rsidRDefault="00000000">
      <w:pPr>
        <w:jc w:val="both"/>
        <w:rPr>
          <w:rFonts w:cstheme="minorHAnsi"/>
          <w:color w:val="161616"/>
          <w:sz w:val="18"/>
          <w:szCs w:val="18"/>
          <w:lang w:val="es-CR"/>
        </w:rPr>
      </w:pPr>
      <w:r w:rsidRPr="00A333F5">
        <w:rPr>
          <w:rFonts w:cstheme="minorHAnsi"/>
          <w:color w:val="161616"/>
          <w:sz w:val="18"/>
          <w:szCs w:val="18"/>
          <w:lang w:val="es-CR"/>
        </w:rPr>
        <w:t>j) Reparaciones indeterminadas: los supuestos en los que para determinar los alcances de la reparación sea necesario el desarme de la maquinaria, los equipos o los vehículos”.</w:t>
      </w:r>
    </w:p>
    <w:p w14:paraId="65BC81C4" w14:textId="77777777" w:rsidR="00A502A0" w:rsidRPr="00A333F5" w:rsidRDefault="00A502A0">
      <w:pPr>
        <w:jc w:val="both"/>
        <w:rPr>
          <w:rFonts w:cstheme="minorHAnsi"/>
          <w:color w:val="161616"/>
          <w:sz w:val="18"/>
          <w:szCs w:val="18"/>
          <w:lang w:val="es-CR"/>
        </w:rPr>
      </w:pPr>
    </w:p>
    <w:p w14:paraId="0BCB29D4" w14:textId="77777777" w:rsidR="00A502A0" w:rsidRPr="00A333F5" w:rsidRDefault="00000000">
      <w:pPr>
        <w:rPr>
          <w:rFonts w:cstheme="minorHAnsi"/>
          <w:color w:val="161616"/>
          <w:sz w:val="24"/>
          <w:szCs w:val="20"/>
          <w:lang w:val="es-CR"/>
        </w:rPr>
      </w:pPr>
      <w:r w:rsidRPr="00A333F5">
        <w:rPr>
          <w:rFonts w:cstheme="minorHAnsi"/>
          <w:color w:val="161616"/>
          <w:sz w:val="18"/>
          <w:szCs w:val="18"/>
          <w:lang w:val="es-CR"/>
        </w:rPr>
        <w:t>Ver también Artículos 3, 6, 7, 8, 10, 12, 14 y 15 del Reglamento.</w:t>
      </w:r>
    </w:p>
    <w:p w14:paraId="0C105388" w14:textId="77777777" w:rsidR="00A502A0" w:rsidRPr="00A333F5" w:rsidRDefault="00A502A0">
      <w:pPr>
        <w:jc w:val="both"/>
        <w:rPr>
          <w:rFonts w:cstheme="minorHAnsi"/>
          <w:color w:val="161616"/>
          <w:sz w:val="18"/>
          <w:szCs w:val="18"/>
          <w:lang w:val="es-CR"/>
        </w:rPr>
      </w:pPr>
    </w:p>
    <w:p w14:paraId="69612DA5" w14:textId="77777777" w:rsidR="00A502A0" w:rsidRPr="00A333F5" w:rsidRDefault="00A502A0">
      <w:pPr>
        <w:jc w:val="both"/>
        <w:rPr>
          <w:rFonts w:cstheme="minorHAnsi"/>
          <w:color w:val="161616"/>
          <w:sz w:val="18"/>
          <w:szCs w:val="18"/>
          <w:lang w:val="es-CR"/>
        </w:rPr>
      </w:pPr>
    </w:p>
    <w:p w14:paraId="5020F758" w14:textId="77777777" w:rsidR="00A502A0" w:rsidRPr="00A333F5" w:rsidRDefault="00000000">
      <w:pPr>
        <w:jc w:val="both"/>
        <w:rPr>
          <w:rFonts w:cstheme="minorHAnsi"/>
          <w:color w:val="161616"/>
          <w:sz w:val="18"/>
          <w:szCs w:val="18"/>
          <w:lang w:val="es-CR"/>
        </w:rPr>
      </w:pPr>
      <w:r w:rsidRPr="00A333F5">
        <w:rPr>
          <w:rFonts w:cstheme="minorHAnsi"/>
          <w:color w:val="161616"/>
          <w:sz w:val="18"/>
          <w:szCs w:val="18"/>
          <w:lang w:val="es-CR"/>
        </w:rPr>
        <w:t xml:space="preserve">En materia de </w:t>
      </w:r>
      <w:r w:rsidRPr="00A333F5">
        <w:rPr>
          <w:rFonts w:cstheme="minorHAnsi"/>
          <w:b/>
          <w:bCs/>
          <w:color w:val="161616"/>
          <w:sz w:val="18"/>
          <w:szCs w:val="18"/>
          <w:lang w:val="es-CR"/>
        </w:rPr>
        <w:t>obra pública, el régimen recursivo y contratos,</w:t>
      </w:r>
      <w:r w:rsidRPr="00A333F5">
        <w:rPr>
          <w:rFonts w:cstheme="minorHAnsi"/>
          <w:color w:val="161616"/>
          <w:sz w:val="18"/>
          <w:szCs w:val="18"/>
          <w:lang w:val="es-CR"/>
        </w:rPr>
        <w:t xml:space="preserve"> debe consultarse y observarse todo lo establecido en la Ley N°9986 y su Reglamento.</w:t>
      </w:r>
    </w:p>
    <w:p w14:paraId="1BBDD418" w14:textId="77777777" w:rsidR="00A502A0" w:rsidRPr="00A333F5" w:rsidRDefault="00A502A0">
      <w:pPr>
        <w:jc w:val="both"/>
        <w:rPr>
          <w:rFonts w:cstheme="minorHAnsi"/>
          <w:color w:val="161616"/>
          <w:sz w:val="18"/>
          <w:szCs w:val="18"/>
          <w:lang w:val="es-CR"/>
        </w:rPr>
      </w:pPr>
    </w:p>
    <w:p w14:paraId="5C7E707D" w14:textId="77777777" w:rsidR="00A502A0" w:rsidRPr="00A333F5" w:rsidRDefault="00A502A0">
      <w:pPr>
        <w:jc w:val="both"/>
        <w:rPr>
          <w:rFonts w:cstheme="minorHAnsi"/>
          <w:color w:val="161616"/>
          <w:sz w:val="18"/>
          <w:szCs w:val="18"/>
          <w:lang w:val="es-CR"/>
        </w:rPr>
      </w:pPr>
    </w:p>
    <w:p w14:paraId="79AE4818" w14:textId="77777777" w:rsidR="00A502A0" w:rsidRPr="00A333F5" w:rsidRDefault="00A502A0">
      <w:pPr>
        <w:jc w:val="both"/>
        <w:rPr>
          <w:rFonts w:cstheme="minorHAnsi"/>
          <w:color w:val="161616"/>
          <w:sz w:val="18"/>
          <w:szCs w:val="18"/>
          <w:lang w:val="es-CR"/>
        </w:rPr>
      </w:pPr>
    </w:p>
    <w:p w14:paraId="2E10B502" w14:textId="77777777" w:rsidR="00A502A0" w:rsidRPr="00A333F5" w:rsidRDefault="00A502A0">
      <w:pPr>
        <w:jc w:val="both"/>
        <w:rPr>
          <w:rFonts w:cstheme="minorHAnsi"/>
          <w:color w:val="161616"/>
          <w:sz w:val="18"/>
          <w:szCs w:val="18"/>
          <w:lang w:val="es-CR"/>
        </w:rPr>
      </w:pPr>
    </w:p>
    <w:p w14:paraId="51FCE3F8" w14:textId="77777777" w:rsidR="00A502A0" w:rsidRPr="00A333F5" w:rsidRDefault="00000000">
      <w:pPr>
        <w:jc w:val="both"/>
        <w:rPr>
          <w:rFonts w:cstheme="minorHAnsi"/>
          <w:color w:val="161616"/>
          <w:sz w:val="18"/>
          <w:szCs w:val="18"/>
          <w:lang w:val="es-CR"/>
        </w:rPr>
      </w:pPr>
      <w:r w:rsidRPr="00A333F5">
        <w:rPr>
          <w:rFonts w:cstheme="minorHAnsi"/>
          <w:lang w:val="es-CR"/>
        </w:rPr>
        <w:br w:type="page"/>
      </w:r>
    </w:p>
    <w:p w14:paraId="6DC27D8E" w14:textId="77777777" w:rsidR="00A502A0" w:rsidRPr="00A333F5" w:rsidRDefault="00A502A0">
      <w:pPr>
        <w:jc w:val="both"/>
        <w:rPr>
          <w:rFonts w:cstheme="minorHAnsi"/>
          <w:color w:val="161616"/>
          <w:sz w:val="20"/>
          <w:szCs w:val="20"/>
          <w:lang w:val="es-CR"/>
        </w:rPr>
      </w:pPr>
    </w:p>
    <w:p w14:paraId="59578FF8" w14:textId="77777777" w:rsidR="00A502A0" w:rsidRPr="00A333F5" w:rsidRDefault="00A502A0">
      <w:pPr>
        <w:jc w:val="both"/>
        <w:rPr>
          <w:rFonts w:cstheme="minorHAnsi"/>
          <w:b/>
          <w:bCs/>
          <w:color w:val="00B7D0"/>
          <w:sz w:val="8"/>
          <w:szCs w:val="8"/>
          <w:lang w:val="es-CR"/>
        </w:rPr>
      </w:pPr>
    </w:p>
    <w:p w14:paraId="0F3AFFC7" w14:textId="77777777" w:rsidR="00A502A0" w:rsidRPr="00A333F5" w:rsidRDefault="00A502A0">
      <w:pPr>
        <w:jc w:val="center"/>
        <w:rPr>
          <w:rFonts w:cstheme="minorHAnsi"/>
          <w:b/>
          <w:bCs/>
          <w:color w:val="01568A"/>
          <w:sz w:val="2"/>
          <w:szCs w:val="2"/>
          <w:lang w:val="es-CR"/>
        </w:rPr>
      </w:pPr>
    </w:p>
    <w:tbl>
      <w:tblPr>
        <w:tblStyle w:val="Tablaconcuadrcula6concolores-nfasis5"/>
        <w:tblW w:w="5000" w:type="pct"/>
        <w:tblLook w:val="04A0" w:firstRow="1" w:lastRow="0" w:firstColumn="1" w:lastColumn="0" w:noHBand="0" w:noVBand="1"/>
      </w:tblPr>
      <w:tblGrid>
        <w:gridCol w:w="4469"/>
        <w:gridCol w:w="627"/>
        <w:gridCol w:w="683"/>
        <w:gridCol w:w="675"/>
        <w:gridCol w:w="3562"/>
      </w:tblGrid>
      <w:tr w:rsidR="00A502A0" w:rsidRPr="00A333F5" w14:paraId="1455565D" w14:textId="77777777" w:rsidTr="00A333F5">
        <w:trPr>
          <w:cnfStyle w:val="100000000000" w:firstRow="1" w:lastRow="0" w:firstColumn="0" w:lastColumn="0" w:oddVBand="0" w:evenVBand="0" w:oddHBand="0" w:evenHBand="0" w:firstRowFirstColumn="0" w:firstRowLastColumn="0" w:lastRowFirstColumn="0" w:lastRowLastColumn="0"/>
          <w:trHeight w:val="988"/>
          <w:tblHeader/>
        </w:trPr>
        <w:tc>
          <w:tcPr>
            <w:cnfStyle w:val="001000000000" w:firstRow="0" w:lastRow="0" w:firstColumn="1" w:lastColumn="0" w:oddVBand="0" w:evenVBand="0" w:oddHBand="0" w:evenHBand="0" w:firstRowFirstColumn="0" w:firstRowLastColumn="0" w:lastRowFirstColumn="0" w:lastRowLastColumn="0"/>
            <w:tcW w:w="2231" w:type="pct"/>
            <w:vMerge w:val="restart"/>
            <w:vAlign w:val="center"/>
          </w:tcPr>
          <w:p w14:paraId="6573313C" w14:textId="2DB46F4F" w:rsidR="00A502A0" w:rsidRPr="00A333F5" w:rsidRDefault="00A333F5" w:rsidP="006F43E4">
            <w:pPr>
              <w:widowControl w:val="0"/>
              <w:contextualSpacing w:val="0"/>
              <w:jc w:val="center"/>
              <w:rPr>
                <w:rFonts w:cstheme="minorHAnsi"/>
                <w:sz w:val="24"/>
                <w:szCs w:val="24"/>
                <w:lang w:val="es-CR"/>
              </w:rPr>
            </w:pPr>
            <w:r w:rsidRPr="00A333F5">
              <w:rPr>
                <w:rFonts w:eastAsia="Calibri" w:cstheme="minorHAnsi"/>
                <w:sz w:val="24"/>
                <w:szCs w:val="24"/>
                <w:lang w:val="es-CR"/>
              </w:rPr>
              <w:t>Aspectos generales por cumplir, de previo a iniciar la contratación</w:t>
            </w:r>
          </w:p>
        </w:tc>
        <w:tc>
          <w:tcPr>
            <w:tcW w:w="991" w:type="pct"/>
            <w:gridSpan w:val="3"/>
            <w:vAlign w:val="center"/>
          </w:tcPr>
          <w:p w14:paraId="0F34B0A1" w14:textId="3797FE82" w:rsidR="00A502A0" w:rsidRPr="00A333F5" w:rsidRDefault="006F43E4" w:rsidP="006F43E4">
            <w:pPr>
              <w:widowControl w:val="0"/>
              <w:contextualSpacing w:val="0"/>
              <w:jc w:val="center"/>
              <w:cnfStyle w:val="100000000000" w:firstRow="1" w:lastRow="0" w:firstColumn="0" w:lastColumn="0" w:oddVBand="0" w:evenVBand="0" w:oddHBand="0" w:evenHBand="0" w:firstRowFirstColumn="0" w:firstRowLastColumn="0" w:lastRowFirstColumn="0" w:lastRowLastColumn="0"/>
              <w:rPr>
                <w:rFonts w:cstheme="minorHAnsi"/>
                <w:sz w:val="24"/>
                <w:szCs w:val="24"/>
                <w:lang w:val="es-CR"/>
              </w:rPr>
            </w:pPr>
            <w:r w:rsidRPr="00A333F5">
              <w:rPr>
                <w:rFonts w:cstheme="minorHAnsi"/>
                <w:sz w:val="24"/>
                <w:szCs w:val="24"/>
                <w:lang w:val="es-CR"/>
              </w:rPr>
              <w:t>Marque con una x si se cumplió o no</w:t>
            </w:r>
          </w:p>
        </w:tc>
        <w:tc>
          <w:tcPr>
            <w:tcW w:w="1778" w:type="pct"/>
            <w:vMerge w:val="restart"/>
            <w:vAlign w:val="center"/>
          </w:tcPr>
          <w:p w14:paraId="7368BE31" w14:textId="77777777" w:rsidR="00A502A0" w:rsidRPr="00A333F5" w:rsidRDefault="00000000" w:rsidP="006F43E4">
            <w:pPr>
              <w:widowControl w:val="0"/>
              <w:contextualSpacing w:val="0"/>
              <w:jc w:val="center"/>
              <w:cnfStyle w:val="100000000000" w:firstRow="1" w:lastRow="0" w:firstColumn="0" w:lastColumn="0" w:oddVBand="0" w:evenVBand="0" w:oddHBand="0" w:evenHBand="0" w:firstRowFirstColumn="0" w:firstRowLastColumn="0" w:lastRowFirstColumn="0" w:lastRowLastColumn="0"/>
              <w:rPr>
                <w:rFonts w:cstheme="minorHAnsi"/>
                <w:sz w:val="24"/>
                <w:szCs w:val="24"/>
              </w:rPr>
            </w:pPr>
            <w:r w:rsidRPr="00A333F5">
              <w:rPr>
                <w:rFonts w:eastAsia="Calibri" w:cstheme="minorHAnsi"/>
                <w:sz w:val="24"/>
                <w:szCs w:val="24"/>
                <w:lang w:val="es-CR"/>
              </w:rPr>
              <w:t>Observaciones</w:t>
            </w:r>
          </w:p>
        </w:tc>
      </w:tr>
      <w:tr w:rsidR="00A333F5" w:rsidRPr="00A333F5" w14:paraId="6530B97E" w14:textId="77777777" w:rsidTr="00A333F5">
        <w:trPr>
          <w:cnfStyle w:val="100000000000" w:firstRow="1" w:lastRow="0" w:firstColumn="0" w:lastColumn="0" w:oddVBand="0" w:evenVBand="0" w:oddHBand="0" w:evenHBand="0" w:firstRowFirstColumn="0" w:firstRowLastColumn="0" w:lastRowFirstColumn="0" w:lastRowLastColumn="0"/>
          <w:trHeight w:val="450"/>
          <w:tblHeader/>
        </w:trPr>
        <w:tc>
          <w:tcPr>
            <w:cnfStyle w:val="001000000000" w:firstRow="0" w:lastRow="0" w:firstColumn="1" w:lastColumn="0" w:oddVBand="0" w:evenVBand="0" w:oddHBand="0" w:evenHBand="0" w:firstRowFirstColumn="0" w:firstRowLastColumn="0" w:lastRowFirstColumn="0" w:lastRowLastColumn="0"/>
            <w:tcW w:w="2231" w:type="pct"/>
            <w:vMerge/>
          </w:tcPr>
          <w:p w14:paraId="28DEEB4E" w14:textId="77777777" w:rsidR="00A502A0" w:rsidRPr="00A333F5" w:rsidRDefault="00A502A0">
            <w:pPr>
              <w:widowControl w:val="0"/>
              <w:contextualSpacing w:val="0"/>
              <w:jc w:val="both"/>
              <w:rPr>
                <w:rFonts w:eastAsia="Calibri" w:cstheme="minorHAnsi"/>
                <w:b w:val="0"/>
                <w:bCs w:val="0"/>
                <w:color w:val="000000"/>
                <w:sz w:val="24"/>
                <w:szCs w:val="24"/>
                <w:lang w:val="es-CR"/>
              </w:rPr>
            </w:pPr>
          </w:p>
        </w:tc>
        <w:tc>
          <w:tcPr>
            <w:tcW w:w="313" w:type="pct"/>
          </w:tcPr>
          <w:p w14:paraId="0AF5C7B0" w14:textId="77777777" w:rsidR="00A502A0" w:rsidRPr="00A333F5" w:rsidRDefault="00000000">
            <w:pPr>
              <w:widowControl w:val="0"/>
              <w:contextualSpacing w:val="0"/>
              <w:jc w:val="center"/>
              <w:cnfStyle w:val="100000000000" w:firstRow="1" w:lastRow="0" w:firstColumn="0" w:lastColumn="0" w:oddVBand="0" w:evenVBand="0" w:oddHBand="0" w:evenHBand="0" w:firstRowFirstColumn="0" w:firstRowLastColumn="0" w:lastRowFirstColumn="0" w:lastRowLastColumn="0"/>
              <w:rPr>
                <w:rFonts w:cstheme="minorHAnsi"/>
                <w:color w:val="000000"/>
                <w:sz w:val="24"/>
                <w:szCs w:val="24"/>
              </w:rPr>
            </w:pPr>
            <w:r w:rsidRPr="00A333F5">
              <w:rPr>
                <w:rFonts w:eastAsia="Calibri" w:cstheme="minorHAnsi"/>
                <w:b w:val="0"/>
                <w:bCs w:val="0"/>
                <w:color w:val="000000"/>
                <w:sz w:val="24"/>
                <w:szCs w:val="24"/>
                <w:lang w:val="es-CR"/>
              </w:rPr>
              <w:t>Sí</w:t>
            </w:r>
          </w:p>
        </w:tc>
        <w:tc>
          <w:tcPr>
            <w:tcW w:w="341" w:type="pct"/>
          </w:tcPr>
          <w:p w14:paraId="11FA4ED5" w14:textId="77777777" w:rsidR="00A502A0" w:rsidRPr="00A333F5" w:rsidRDefault="00000000">
            <w:pPr>
              <w:widowControl w:val="0"/>
              <w:contextualSpacing w:val="0"/>
              <w:jc w:val="center"/>
              <w:cnfStyle w:val="100000000000" w:firstRow="1" w:lastRow="0" w:firstColumn="0" w:lastColumn="0" w:oddVBand="0" w:evenVBand="0" w:oddHBand="0" w:evenHBand="0" w:firstRowFirstColumn="0" w:firstRowLastColumn="0" w:lastRowFirstColumn="0" w:lastRowLastColumn="0"/>
              <w:rPr>
                <w:rFonts w:cstheme="minorHAnsi"/>
                <w:color w:val="000000"/>
                <w:sz w:val="24"/>
                <w:szCs w:val="24"/>
              </w:rPr>
            </w:pPr>
            <w:r w:rsidRPr="00A333F5">
              <w:rPr>
                <w:rFonts w:eastAsia="Calibri" w:cstheme="minorHAnsi"/>
                <w:b w:val="0"/>
                <w:bCs w:val="0"/>
                <w:color w:val="000000"/>
                <w:sz w:val="24"/>
                <w:szCs w:val="24"/>
                <w:lang w:val="es-CR"/>
              </w:rPr>
              <w:t>No</w:t>
            </w:r>
          </w:p>
        </w:tc>
        <w:tc>
          <w:tcPr>
            <w:tcW w:w="337" w:type="pct"/>
          </w:tcPr>
          <w:p w14:paraId="4AAEF514" w14:textId="77777777" w:rsidR="00A502A0" w:rsidRPr="00A333F5" w:rsidRDefault="00000000">
            <w:pPr>
              <w:widowControl w:val="0"/>
              <w:contextualSpacing w:val="0"/>
              <w:jc w:val="center"/>
              <w:cnfStyle w:val="100000000000" w:firstRow="1" w:lastRow="0" w:firstColumn="0" w:lastColumn="0" w:oddVBand="0" w:evenVBand="0" w:oddHBand="0" w:evenHBand="0" w:firstRowFirstColumn="0" w:firstRowLastColumn="0" w:lastRowFirstColumn="0" w:lastRowLastColumn="0"/>
              <w:rPr>
                <w:rFonts w:cstheme="minorHAnsi"/>
                <w:color w:val="000000"/>
                <w:sz w:val="24"/>
                <w:szCs w:val="24"/>
              </w:rPr>
            </w:pPr>
            <w:r w:rsidRPr="00A333F5">
              <w:rPr>
                <w:rFonts w:eastAsia="Calibri" w:cstheme="minorHAnsi"/>
                <w:b w:val="0"/>
                <w:bCs w:val="0"/>
                <w:color w:val="000000"/>
                <w:sz w:val="24"/>
                <w:szCs w:val="24"/>
                <w:lang w:val="es-CR"/>
              </w:rPr>
              <w:t>N/A</w:t>
            </w:r>
          </w:p>
        </w:tc>
        <w:tc>
          <w:tcPr>
            <w:tcW w:w="1778" w:type="pct"/>
            <w:vMerge/>
          </w:tcPr>
          <w:p w14:paraId="34FCE6D8" w14:textId="77777777" w:rsidR="00A502A0" w:rsidRPr="00A333F5" w:rsidRDefault="00A502A0">
            <w:pPr>
              <w:widowControl w:val="0"/>
              <w:contextualSpacing w:val="0"/>
              <w:jc w:val="both"/>
              <w:cnfStyle w:val="100000000000" w:firstRow="1"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8D2C4F" w:rsidRPr="005F0468" w14:paraId="7573A4C0" w14:textId="77777777" w:rsidTr="006F43E4">
        <w:trPr>
          <w:cnfStyle w:val="000000100000" w:firstRow="0" w:lastRow="0" w:firstColumn="0" w:lastColumn="0" w:oddVBand="0" w:evenVBand="0" w:oddHBand="1" w:evenHBand="0" w:firstRowFirstColumn="0" w:firstRowLastColumn="0" w:lastRowFirstColumn="0" w:lastRowLastColumn="0"/>
          <w:trHeight w:val="688"/>
        </w:trPr>
        <w:tc>
          <w:tcPr>
            <w:cnfStyle w:val="001000000000" w:firstRow="0" w:lastRow="0" w:firstColumn="1" w:lastColumn="0" w:oddVBand="0" w:evenVBand="0" w:oddHBand="0" w:evenHBand="0" w:firstRowFirstColumn="0" w:firstRowLastColumn="0" w:lastRowFirstColumn="0" w:lastRowLastColumn="0"/>
            <w:tcW w:w="2231" w:type="pct"/>
          </w:tcPr>
          <w:p w14:paraId="19490C7D" w14:textId="77777777" w:rsidR="00A502A0" w:rsidRPr="00A333F5" w:rsidRDefault="00A502A0" w:rsidP="006F43E4">
            <w:pPr>
              <w:widowControl w:val="0"/>
              <w:ind w:right="97"/>
              <w:contextualSpacing w:val="0"/>
              <w:jc w:val="both"/>
              <w:rPr>
                <w:rFonts w:eastAsia="Calibri" w:cstheme="minorHAnsi"/>
                <w:color w:val="000000"/>
                <w:lang w:val="es-CR"/>
              </w:rPr>
            </w:pPr>
          </w:p>
          <w:p w14:paraId="2270D89A" w14:textId="77777777" w:rsidR="00A502A0" w:rsidRPr="00A333F5" w:rsidRDefault="00000000" w:rsidP="006F43E4">
            <w:pPr>
              <w:widowControl w:val="0"/>
              <w:ind w:right="97"/>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¿La contratación que realizará la Junta se encuentra relacionada a alguna meta dentro del Plan Anual de Trabajo (PAT)?</w:t>
            </w:r>
          </w:p>
          <w:p w14:paraId="5E324078" w14:textId="77777777" w:rsidR="00A502A0" w:rsidRPr="00A333F5" w:rsidRDefault="00A502A0" w:rsidP="006F43E4">
            <w:pPr>
              <w:widowControl w:val="0"/>
              <w:ind w:right="97"/>
              <w:contextualSpacing w:val="0"/>
              <w:jc w:val="both"/>
              <w:rPr>
                <w:rFonts w:eastAsia="Calibri" w:cstheme="minorHAnsi"/>
                <w:b w:val="0"/>
                <w:bCs w:val="0"/>
                <w:color w:val="000000"/>
                <w:sz w:val="24"/>
                <w:szCs w:val="24"/>
                <w:lang w:val="es-CR"/>
              </w:rPr>
            </w:pPr>
          </w:p>
        </w:tc>
        <w:tc>
          <w:tcPr>
            <w:tcW w:w="313" w:type="pct"/>
          </w:tcPr>
          <w:p w14:paraId="48E02218"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5988DF24"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72E53B8C"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5F2A5109"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088A98DF" w14:textId="77777777" w:rsidTr="00A333F5">
        <w:trPr>
          <w:trHeight w:val="1609"/>
        </w:trPr>
        <w:tc>
          <w:tcPr>
            <w:cnfStyle w:val="001000000000" w:firstRow="0" w:lastRow="0" w:firstColumn="1" w:lastColumn="0" w:oddVBand="0" w:evenVBand="0" w:oddHBand="0" w:evenHBand="0" w:firstRowFirstColumn="0" w:firstRowLastColumn="0" w:lastRowFirstColumn="0" w:lastRowLastColumn="0"/>
            <w:tcW w:w="2231" w:type="pct"/>
            <w:tcBorders>
              <w:bottom w:val="single" w:sz="4" w:space="0" w:color="auto"/>
            </w:tcBorders>
          </w:tcPr>
          <w:p w14:paraId="70845BD3" w14:textId="70885DC0" w:rsidR="00A502A0" w:rsidRDefault="00000000" w:rsidP="006F43E4">
            <w:pPr>
              <w:widowControl w:val="0"/>
              <w:ind w:right="97"/>
              <w:jc w:val="both"/>
              <w:rPr>
                <w:rFonts w:eastAsia="Calibri" w:cstheme="minorHAnsi"/>
                <w:color w:val="000000"/>
                <w:sz w:val="24"/>
                <w:szCs w:val="24"/>
                <w:lang w:val="es-CR"/>
              </w:rPr>
            </w:pPr>
            <w:r w:rsidRPr="00A333F5">
              <w:rPr>
                <w:rFonts w:eastAsia="Calibri" w:cstheme="minorHAnsi"/>
                <w:b w:val="0"/>
                <w:bCs w:val="0"/>
                <w:color w:val="000000"/>
                <w:sz w:val="24"/>
                <w:szCs w:val="24"/>
                <w:lang w:val="es-CR"/>
              </w:rPr>
              <w:t xml:space="preserve">¿En el primer mes de cada período presupuestario, </w:t>
            </w:r>
            <w:r w:rsidR="006F43E4" w:rsidRPr="00A333F5">
              <w:rPr>
                <w:rFonts w:eastAsia="Calibri" w:cstheme="minorHAnsi"/>
                <w:b w:val="0"/>
                <w:bCs w:val="0"/>
                <w:color w:val="000000"/>
                <w:sz w:val="24"/>
                <w:szCs w:val="24"/>
                <w:lang w:val="es-CR"/>
              </w:rPr>
              <w:t>la Junta dio a conocer el Programa de Adquisiciones proyectado para ese año, ¿lo cual no implicará ningún compromiso de contratar?</w:t>
            </w:r>
          </w:p>
          <w:p w14:paraId="177C0069" w14:textId="594B984D" w:rsidR="00A502A0" w:rsidRPr="00A333F5" w:rsidRDefault="00A502A0" w:rsidP="006F43E4">
            <w:pPr>
              <w:widowControl w:val="0"/>
              <w:ind w:right="97"/>
              <w:jc w:val="both"/>
              <w:rPr>
                <w:rFonts w:cstheme="minorHAnsi"/>
                <w:b w:val="0"/>
                <w:bCs w:val="0"/>
                <w:color w:val="000000"/>
                <w:sz w:val="24"/>
                <w:szCs w:val="24"/>
                <w:lang w:val="es-CR"/>
              </w:rPr>
            </w:pPr>
          </w:p>
        </w:tc>
        <w:tc>
          <w:tcPr>
            <w:tcW w:w="313" w:type="pct"/>
            <w:tcBorders>
              <w:bottom w:val="single" w:sz="4" w:space="0" w:color="auto"/>
            </w:tcBorders>
          </w:tcPr>
          <w:p w14:paraId="0B2867FB"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Borders>
              <w:bottom w:val="single" w:sz="4" w:space="0" w:color="auto"/>
            </w:tcBorders>
          </w:tcPr>
          <w:p w14:paraId="2829C5A0"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Borders>
              <w:bottom w:val="single" w:sz="4" w:space="0" w:color="auto"/>
            </w:tcBorders>
          </w:tcPr>
          <w:p w14:paraId="658F62DD"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Borders>
              <w:bottom w:val="single" w:sz="4" w:space="0" w:color="auto"/>
            </w:tcBorders>
          </w:tcPr>
          <w:p w14:paraId="48D0AD06"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50718D47" w14:textId="77777777" w:rsidTr="00A333F5">
        <w:trPr>
          <w:cnfStyle w:val="000000100000" w:firstRow="0" w:lastRow="0" w:firstColumn="0" w:lastColumn="0" w:oddVBand="0" w:evenVBand="0" w:oddHBand="1" w:evenHBand="0" w:firstRowFirstColumn="0" w:firstRowLastColumn="0" w:lastRowFirstColumn="0" w:lastRowLastColumn="0"/>
          <w:trHeight w:val="5700"/>
        </w:trPr>
        <w:tc>
          <w:tcPr>
            <w:cnfStyle w:val="001000000000" w:firstRow="0" w:lastRow="0" w:firstColumn="1" w:lastColumn="0" w:oddVBand="0" w:evenVBand="0" w:oddHBand="0" w:evenHBand="0" w:firstRowFirstColumn="0" w:firstRowLastColumn="0" w:lastRowFirstColumn="0" w:lastRowLastColumn="0"/>
            <w:tcW w:w="2231" w:type="pct"/>
            <w:tcBorders>
              <w:top w:val="single" w:sz="4" w:space="0" w:color="auto"/>
            </w:tcBorders>
            <w:vAlign w:val="center"/>
          </w:tcPr>
          <w:p w14:paraId="0CE3281B" w14:textId="77777777" w:rsidR="00A333F5" w:rsidRPr="00A333F5" w:rsidRDefault="00A333F5" w:rsidP="00A333F5">
            <w:pPr>
              <w:widowControl w:val="0"/>
              <w:ind w:right="97"/>
              <w:rPr>
                <w:rFonts w:cstheme="minorHAnsi"/>
                <w:b w:val="0"/>
                <w:bCs w:val="0"/>
                <w:color w:val="000000"/>
                <w:sz w:val="24"/>
                <w:szCs w:val="24"/>
                <w:lang w:val="es-CR"/>
              </w:rPr>
            </w:pPr>
            <w:r w:rsidRPr="00A333F5">
              <w:rPr>
                <w:rFonts w:eastAsia="Calibri" w:cstheme="minorHAnsi"/>
                <w:b w:val="0"/>
                <w:bCs w:val="0"/>
                <w:color w:val="000000"/>
                <w:sz w:val="24"/>
                <w:szCs w:val="24"/>
                <w:lang w:val="es-CR"/>
              </w:rPr>
              <w:t>La Junta deberá incluir en el Programa de Adquisiciones al menos, la siguiente información:</w:t>
            </w:r>
          </w:p>
          <w:p w14:paraId="01863D8C" w14:textId="77777777" w:rsidR="00A333F5" w:rsidRDefault="00A333F5" w:rsidP="00A333F5">
            <w:pPr>
              <w:widowControl w:val="0"/>
              <w:ind w:right="97"/>
              <w:rPr>
                <w:rFonts w:eastAsia="Calibri" w:cstheme="minorHAnsi"/>
                <w:color w:val="000000"/>
                <w:sz w:val="24"/>
                <w:szCs w:val="24"/>
                <w:lang w:val="es-CR"/>
              </w:rPr>
            </w:pPr>
          </w:p>
          <w:p w14:paraId="15F3DE02" w14:textId="77777777" w:rsidR="00A333F5" w:rsidRPr="00A333F5" w:rsidRDefault="00A333F5" w:rsidP="00A333F5">
            <w:pPr>
              <w:widowControl w:val="0"/>
              <w:ind w:left="284" w:right="97" w:hanging="284"/>
              <w:rPr>
                <w:rFonts w:cstheme="minorHAnsi"/>
                <w:b w:val="0"/>
                <w:bCs w:val="0"/>
                <w:color w:val="000000"/>
                <w:sz w:val="24"/>
                <w:szCs w:val="24"/>
                <w:lang w:val="es-CR"/>
              </w:rPr>
            </w:pPr>
            <w:r w:rsidRPr="00A333F5">
              <w:rPr>
                <w:rFonts w:eastAsia="Calibri" w:cstheme="minorHAnsi"/>
                <w:b w:val="0"/>
                <w:bCs w:val="0"/>
                <w:color w:val="000000"/>
                <w:sz w:val="24"/>
                <w:szCs w:val="24"/>
                <w:lang w:val="es-CR"/>
              </w:rPr>
              <w:t>a) Tipo de bien, servicio u obra por contratar.</w:t>
            </w:r>
          </w:p>
          <w:p w14:paraId="4798A468" w14:textId="77777777" w:rsidR="00A333F5" w:rsidRPr="00A333F5" w:rsidRDefault="00A333F5" w:rsidP="00A333F5">
            <w:pPr>
              <w:widowControl w:val="0"/>
              <w:ind w:left="284" w:right="97" w:hanging="284"/>
              <w:rPr>
                <w:rFonts w:eastAsia="Calibri" w:cstheme="minorHAnsi"/>
                <w:b w:val="0"/>
                <w:bCs w:val="0"/>
                <w:color w:val="000000"/>
                <w:sz w:val="24"/>
                <w:szCs w:val="24"/>
                <w:lang w:val="es-CR"/>
              </w:rPr>
            </w:pPr>
            <w:r w:rsidRPr="00A333F5">
              <w:rPr>
                <w:rFonts w:eastAsia="Calibri" w:cstheme="minorHAnsi"/>
                <w:b w:val="0"/>
                <w:bCs w:val="0"/>
                <w:color w:val="000000"/>
                <w:sz w:val="24"/>
                <w:szCs w:val="24"/>
                <w:lang w:val="es-CR"/>
              </w:rPr>
              <w:t>b) Proyecto o programa dentro del cual se realizará la contratación. c) Monto estimado de la compra.</w:t>
            </w:r>
          </w:p>
          <w:p w14:paraId="45E7F92B" w14:textId="77777777" w:rsidR="00A333F5" w:rsidRPr="00A333F5" w:rsidRDefault="00A333F5" w:rsidP="00A333F5">
            <w:pPr>
              <w:widowControl w:val="0"/>
              <w:ind w:left="284" w:right="97" w:hanging="284"/>
              <w:rPr>
                <w:rFonts w:eastAsia="Calibri" w:cstheme="minorHAnsi"/>
                <w:b w:val="0"/>
                <w:bCs w:val="0"/>
                <w:color w:val="000000"/>
                <w:sz w:val="24"/>
                <w:szCs w:val="24"/>
                <w:lang w:val="es-CR"/>
              </w:rPr>
            </w:pPr>
            <w:r w:rsidRPr="00A333F5">
              <w:rPr>
                <w:rFonts w:eastAsia="Calibri" w:cstheme="minorHAnsi"/>
                <w:b w:val="0"/>
                <w:bCs w:val="0"/>
                <w:color w:val="000000"/>
                <w:sz w:val="24"/>
                <w:szCs w:val="24"/>
                <w:lang w:val="es-CR"/>
              </w:rPr>
              <w:t>d) Período estimado del inicio de los procedimientos de contratación.</w:t>
            </w:r>
          </w:p>
          <w:p w14:paraId="6F4EBE6F" w14:textId="77777777" w:rsidR="00A333F5" w:rsidRPr="00A333F5" w:rsidRDefault="00A333F5" w:rsidP="00A333F5">
            <w:pPr>
              <w:widowControl w:val="0"/>
              <w:ind w:left="567" w:right="97" w:hanging="567"/>
              <w:rPr>
                <w:rFonts w:eastAsia="Calibri" w:cstheme="minorHAnsi"/>
                <w:b w:val="0"/>
                <w:bCs w:val="0"/>
                <w:color w:val="000000"/>
                <w:sz w:val="24"/>
                <w:szCs w:val="24"/>
                <w:lang w:val="es-CR"/>
              </w:rPr>
            </w:pPr>
            <w:r w:rsidRPr="00A333F5">
              <w:rPr>
                <w:rFonts w:eastAsia="Calibri" w:cstheme="minorHAnsi"/>
                <w:b w:val="0"/>
                <w:bCs w:val="0"/>
                <w:color w:val="000000"/>
                <w:sz w:val="24"/>
                <w:szCs w:val="24"/>
                <w:lang w:val="es-CR"/>
              </w:rPr>
              <w:t>e) Fuente de financiamiento.</w:t>
            </w:r>
          </w:p>
          <w:p w14:paraId="3AECA408" w14:textId="77777777" w:rsidR="00A333F5" w:rsidRDefault="00A333F5" w:rsidP="00A333F5">
            <w:pPr>
              <w:widowControl w:val="0"/>
              <w:ind w:left="284" w:right="97" w:hanging="284"/>
              <w:rPr>
                <w:rFonts w:eastAsia="Calibri" w:cstheme="minorHAnsi"/>
                <w:color w:val="000000"/>
                <w:sz w:val="24"/>
                <w:szCs w:val="24"/>
                <w:lang w:val="es-CR"/>
              </w:rPr>
            </w:pPr>
            <w:r w:rsidRPr="00A333F5">
              <w:rPr>
                <w:rFonts w:eastAsia="Calibri" w:cstheme="minorHAnsi"/>
                <w:b w:val="0"/>
                <w:bCs w:val="0"/>
                <w:color w:val="000000"/>
                <w:sz w:val="24"/>
                <w:szCs w:val="24"/>
                <w:lang w:val="es-CR"/>
              </w:rPr>
              <w:t>f)</w:t>
            </w:r>
            <w:r>
              <w:rPr>
                <w:rFonts w:eastAsia="Calibri" w:cstheme="minorHAnsi"/>
                <w:b w:val="0"/>
                <w:bCs w:val="0"/>
                <w:color w:val="000000"/>
                <w:sz w:val="24"/>
                <w:szCs w:val="24"/>
                <w:lang w:val="es-CR"/>
              </w:rPr>
              <w:t xml:space="preserve"> </w:t>
            </w:r>
            <w:r w:rsidRPr="00A333F5">
              <w:rPr>
                <w:rFonts w:eastAsia="Calibri" w:cstheme="minorHAnsi"/>
                <w:b w:val="0"/>
                <w:bCs w:val="0"/>
                <w:color w:val="000000"/>
                <w:sz w:val="24"/>
                <w:szCs w:val="24"/>
                <w:lang w:val="es-CR"/>
              </w:rPr>
              <w:t>Cualquier otra información complementaria que contribuya a la identificación del bien o servicio.</w:t>
            </w:r>
          </w:p>
          <w:p w14:paraId="235D9C8D" w14:textId="77777777" w:rsidR="00A333F5" w:rsidRPr="00A333F5" w:rsidRDefault="00A333F5" w:rsidP="00A333F5">
            <w:pPr>
              <w:widowControl w:val="0"/>
              <w:ind w:left="426" w:right="97" w:hanging="426"/>
              <w:rPr>
                <w:rFonts w:eastAsia="Calibri" w:cstheme="minorHAnsi"/>
                <w:b w:val="0"/>
                <w:bCs w:val="0"/>
                <w:color w:val="000000"/>
                <w:sz w:val="24"/>
                <w:szCs w:val="24"/>
                <w:lang w:val="es-CR"/>
              </w:rPr>
            </w:pPr>
          </w:p>
          <w:p w14:paraId="4269C9EA" w14:textId="77777777" w:rsidR="00A333F5" w:rsidRPr="00A333F5" w:rsidRDefault="00A333F5" w:rsidP="00A333F5">
            <w:pPr>
              <w:widowControl w:val="0"/>
              <w:ind w:right="97"/>
              <w:rPr>
                <w:rFonts w:eastAsia="Calibri" w:cstheme="minorHAnsi"/>
                <w:color w:val="000000"/>
                <w:sz w:val="24"/>
                <w:szCs w:val="24"/>
                <w:lang w:val="es-CR"/>
              </w:rPr>
            </w:pPr>
            <w:r w:rsidRPr="00A333F5">
              <w:rPr>
                <w:rFonts w:eastAsia="Calibri" w:cstheme="minorHAnsi"/>
                <w:b w:val="0"/>
                <w:bCs w:val="0"/>
                <w:color w:val="000000"/>
                <w:sz w:val="24"/>
                <w:szCs w:val="24"/>
                <w:lang w:val="es-CR"/>
              </w:rPr>
              <w:t>Todo de conformidad con lo establecido en el Artículo 8 de Reglamento de la Ley N°9986)</w:t>
            </w:r>
          </w:p>
        </w:tc>
        <w:tc>
          <w:tcPr>
            <w:tcW w:w="313" w:type="pct"/>
            <w:tcBorders>
              <w:top w:val="single" w:sz="4" w:space="0" w:color="auto"/>
            </w:tcBorders>
          </w:tcPr>
          <w:p w14:paraId="6F73DB04" w14:textId="77777777" w:rsidR="00A333F5" w:rsidRPr="00A333F5" w:rsidRDefault="00A333F5">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Borders>
              <w:top w:val="single" w:sz="4" w:space="0" w:color="auto"/>
            </w:tcBorders>
          </w:tcPr>
          <w:p w14:paraId="4AA60D75" w14:textId="77777777" w:rsidR="00A333F5" w:rsidRPr="00A333F5" w:rsidRDefault="00A333F5">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Borders>
              <w:top w:val="single" w:sz="4" w:space="0" w:color="auto"/>
            </w:tcBorders>
          </w:tcPr>
          <w:p w14:paraId="5F5F15A6" w14:textId="77777777" w:rsidR="00A333F5" w:rsidRPr="00A333F5" w:rsidRDefault="00A333F5">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Borders>
              <w:top w:val="single" w:sz="4" w:space="0" w:color="auto"/>
            </w:tcBorders>
          </w:tcPr>
          <w:p w14:paraId="5DCE5A78" w14:textId="77777777" w:rsidR="00A333F5" w:rsidRPr="00A333F5" w:rsidRDefault="00A333F5">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231F896D" w14:textId="77777777" w:rsidTr="00A333F5">
        <w:trPr>
          <w:trHeight w:val="567"/>
        </w:trPr>
        <w:tc>
          <w:tcPr>
            <w:cnfStyle w:val="001000000000" w:firstRow="0" w:lastRow="0" w:firstColumn="1" w:lastColumn="0" w:oddVBand="0" w:evenVBand="0" w:oddHBand="0" w:evenHBand="0" w:firstRowFirstColumn="0" w:firstRowLastColumn="0" w:lastRowFirstColumn="0" w:lastRowLastColumn="0"/>
            <w:tcW w:w="2231" w:type="pct"/>
            <w:vAlign w:val="center"/>
          </w:tcPr>
          <w:p w14:paraId="481766BF" w14:textId="77777777" w:rsidR="00A502A0" w:rsidRPr="00A333F5" w:rsidRDefault="00000000" w:rsidP="00A333F5">
            <w:pPr>
              <w:widowControl w:val="0"/>
              <w:spacing w:before="240"/>
              <w:ind w:right="97"/>
              <w:contextualSpacing w:val="0"/>
              <w:rPr>
                <w:rFonts w:cstheme="minorHAnsi"/>
                <w:b w:val="0"/>
                <w:bCs w:val="0"/>
                <w:color w:val="000000"/>
                <w:sz w:val="24"/>
                <w:szCs w:val="24"/>
                <w:lang w:val="es-CR"/>
              </w:rPr>
            </w:pPr>
            <w:r w:rsidRPr="00A333F5">
              <w:rPr>
                <w:rFonts w:eastAsia="Calibri" w:cstheme="minorHAnsi"/>
                <w:b w:val="0"/>
                <w:bCs w:val="0"/>
                <w:color w:val="000000"/>
                <w:sz w:val="24"/>
                <w:szCs w:val="24"/>
                <w:lang w:val="es-CR"/>
              </w:rPr>
              <w:t>Si la contratación corresponde a un tema de infraestructura educativa (no incluye mantenimiento menor si los trabajos no requieren de un profesional), ¿Se cuenta con la autorización previa de la DIE?</w:t>
            </w:r>
          </w:p>
        </w:tc>
        <w:tc>
          <w:tcPr>
            <w:tcW w:w="313" w:type="pct"/>
          </w:tcPr>
          <w:p w14:paraId="44CD8F05"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1CF4804B"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6AEA900A"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43A4C4D2"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5997F843"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0BE7EBF9" w14:textId="77777777" w:rsidR="00A502A0" w:rsidRPr="00A333F5" w:rsidRDefault="00000000" w:rsidP="00A333F5">
            <w:pPr>
              <w:widowControl w:val="0"/>
              <w:spacing w:before="240"/>
              <w:ind w:right="97"/>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lastRenderedPageBreak/>
              <w:t>¿Fue establecido con claridad el tipo de procedimiento de contratación que se va a realizar según los umbrales indicados en el Artículo 36 que se muestra en el Anexo 1 y según lo señalado en los Artículos 55, 57, 58, 59, 60, 62, 64, 65, 66 y 67 de la Ley N°9986 y en el Artículo 166 (contrataciones de urgencia) del Reglamento de la Ley N°9986?</w:t>
            </w:r>
          </w:p>
        </w:tc>
        <w:tc>
          <w:tcPr>
            <w:tcW w:w="313" w:type="pct"/>
          </w:tcPr>
          <w:p w14:paraId="5B546CF9"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50E56B2A"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0C4D1AE1"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050CDD71"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r>
      <w:tr w:rsidR="00A333F5" w:rsidRPr="005F0468" w14:paraId="64810656"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361C15BB" w14:textId="77777777" w:rsidR="00A502A0" w:rsidRPr="00A333F5" w:rsidRDefault="00000000" w:rsidP="00A333F5">
            <w:pPr>
              <w:widowControl w:val="0"/>
              <w:spacing w:before="240"/>
              <w:ind w:right="97"/>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¿La Junta ha leído y aplica los principios generales de la contratación pública establecida en el Artículo 8 de la Ley N°9986?</w:t>
            </w:r>
          </w:p>
        </w:tc>
        <w:tc>
          <w:tcPr>
            <w:tcW w:w="313" w:type="pct"/>
          </w:tcPr>
          <w:p w14:paraId="6E7A7648"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6B188FB4"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284DEDCB"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50A852E5"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6EA943BF"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44DD07B4" w14:textId="77777777" w:rsidR="00A502A0" w:rsidRPr="00A333F5" w:rsidRDefault="00000000" w:rsidP="00A333F5">
            <w:pPr>
              <w:widowControl w:val="0"/>
              <w:spacing w:before="240"/>
              <w:ind w:right="97"/>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¿La Junta ha leído y aplica los principios éticos antes y durante la contratación pública establecida en el Artículo 17 del Reglamento de la Ley N°9986?</w:t>
            </w:r>
          </w:p>
        </w:tc>
        <w:tc>
          <w:tcPr>
            <w:tcW w:w="313" w:type="pct"/>
          </w:tcPr>
          <w:p w14:paraId="6E7D64E5"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5B94A398"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7054E88A"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0469ECAC"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7CBDB2AB"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6E98D83E" w14:textId="77777777" w:rsidR="00A502A0" w:rsidRPr="00A333F5" w:rsidRDefault="00000000" w:rsidP="00A333F5">
            <w:pPr>
              <w:widowControl w:val="0"/>
              <w:spacing w:before="240"/>
              <w:ind w:right="97"/>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¿La Junta consulta el catálogo de obras, bienes y servicios y banco de precios disponible en el SICOP para ayudarse al momento de estimar el presupuesto requerido y al elaborar el cartel de contratación respectiva (Art. 17 Ley N°9986 y Artículos 43 y 44 Reglamento Ley N°9986)?</w:t>
            </w:r>
          </w:p>
        </w:tc>
        <w:tc>
          <w:tcPr>
            <w:tcW w:w="313" w:type="pct"/>
          </w:tcPr>
          <w:p w14:paraId="78ACA50D"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1244DE89"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7719D627"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353992B3"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6588BDCB"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147C3B91" w14:textId="77777777" w:rsidR="00A502A0" w:rsidRPr="00A333F5" w:rsidRDefault="00000000" w:rsidP="00A333F5">
            <w:pPr>
              <w:widowControl w:val="0"/>
              <w:spacing w:before="240"/>
              <w:ind w:right="97"/>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¿La Junta consulta el registro electrónico de proveedores, disponible en el SICOP para ayudarse al momento de la contratación respectiva (Art. 18 Ley N°9986)?</w:t>
            </w:r>
          </w:p>
        </w:tc>
        <w:tc>
          <w:tcPr>
            <w:tcW w:w="313" w:type="pct"/>
          </w:tcPr>
          <w:p w14:paraId="7D05DD73"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650D7252"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4FE7A335"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046D05EB"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1B04E4C4"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49E60224" w14:textId="77777777" w:rsidR="00A502A0" w:rsidRPr="00A333F5" w:rsidRDefault="00000000" w:rsidP="00A333F5">
            <w:pPr>
              <w:widowControl w:val="0"/>
              <w:spacing w:before="240"/>
              <w:ind w:right="97"/>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 xml:space="preserve">¿La Junta verificó que no exista participación directa del servidor público cuando, por el ejercicio de sus funciones, tenga la facultad jurídica de decidir, </w:t>
            </w:r>
            <w:r w:rsidRPr="00A333F5">
              <w:rPr>
                <w:rFonts w:eastAsia="Calibri" w:cstheme="minorHAnsi"/>
                <w:b w:val="0"/>
                <w:bCs w:val="0"/>
                <w:color w:val="000000"/>
                <w:sz w:val="24"/>
                <w:szCs w:val="24"/>
                <w:lang w:val="es-CR"/>
              </w:rPr>
              <w:lastRenderedPageBreak/>
              <w:t>deliberar, opinar, asesorar o participar de cualquier otra forma directamente en el procedimiento de contratación, entendido este desde la definición del objeto contractual hasta su ejecución final?</w:t>
            </w:r>
          </w:p>
          <w:p w14:paraId="17ED006A" w14:textId="77777777" w:rsidR="00A502A0" w:rsidRPr="00A333F5" w:rsidRDefault="00A502A0" w:rsidP="00A333F5">
            <w:pPr>
              <w:widowControl w:val="0"/>
              <w:ind w:right="97"/>
              <w:contextualSpacing w:val="0"/>
              <w:jc w:val="both"/>
              <w:rPr>
                <w:rFonts w:eastAsia="Calibri" w:cstheme="minorHAnsi"/>
                <w:color w:val="000000"/>
                <w:lang w:val="es-CR"/>
              </w:rPr>
            </w:pPr>
          </w:p>
          <w:p w14:paraId="7A35941B" w14:textId="58067CCB" w:rsidR="00A502A0" w:rsidRDefault="00000000" w:rsidP="00A333F5">
            <w:pPr>
              <w:widowControl w:val="0"/>
              <w:ind w:right="97"/>
              <w:contextualSpacing w:val="0"/>
              <w:jc w:val="both"/>
              <w:rPr>
                <w:rFonts w:eastAsia="Calibri" w:cstheme="minorHAnsi"/>
                <w:color w:val="000000"/>
                <w:sz w:val="24"/>
                <w:szCs w:val="24"/>
                <w:lang w:val="es-CR"/>
              </w:rPr>
            </w:pPr>
            <w:r w:rsidRPr="00A333F5">
              <w:rPr>
                <w:rFonts w:eastAsia="Calibri" w:cstheme="minorHAnsi"/>
                <w:b w:val="0"/>
                <w:bCs w:val="0"/>
                <w:color w:val="000000"/>
                <w:sz w:val="24"/>
                <w:szCs w:val="24"/>
                <w:lang w:val="es-CR"/>
              </w:rPr>
              <w:t>Este supuesto abarca a quienes deben rendir dictámenes o informes técnicos, preparar o tramitar alguna de las fases del procedimiento de contratación o fiscalizar la fase de ejecución.</w:t>
            </w:r>
          </w:p>
          <w:p w14:paraId="0BEE62D2" w14:textId="77777777" w:rsidR="00A333F5" w:rsidRPr="00A333F5" w:rsidRDefault="00A333F5" w:rsidP="00A333F5">
            <w:pPr>
              <w:widowControl w:val="0"/>
              <w:ind w:right="97"/>
              <w:contextualSpacing w:val="0"/>
              <w:jc w:val="both"/>
              <w:rPr>
                <w:rFonts w:cstheme="minorHAnsi"/>
                <w:b w:val="0"/>
                <w:bCs w:val="0"/>
                <w:color w:val="000000"/>
                <w:sz w:val="24"/>
                <w:szCs w:val="24"/>
                <w:lang w:val="es-CR"/>
              </w:rPr>
            </w:pPr>
          </w:p>
          <w:p w14:paraId="747FD973" w14:textId="5351DB6B" w:rsidR="00A502A0" w:rsidRDefault="00000000" w:rsidP="00A333F5">
            <w:pPr>
              <w:widowControl w:val="0"/>
              <w:ind w:right="97"/>
              <w:contextualSpacing w:val="0"/>
              <w:jc w:val="both"/>
              <w:rPr>
                <w:rFonts w:eastAsia="Calibri" w:cstheme="minorHAnsi"/>
                <w:color w:val="000000"/>
                <w:sz w:val="24"/>
                <w:szCs w:val="24"/>
                <w:lang w:val="es-CR"/>
              </w:rPr>
            </w:pPr>
            <w:r w:rsidRPr="00A333F5">
              <w:rPr>
                <w:rFonts w:eastAsia="Calibri" w:cstheme="minorHAnsi"/>
                <w:b w:val="0"/>
                <w:bCs w:val="0"/>
                <w:color w:val="000000"/>
                <w:sz w:val="24"/>
                <w:szCs w:val="24"/>
                <w:lang w:val="es-CR"/>
              </w:rPr>
              <w:t>La participación directa incluye a las personas físicas contratadas por servicios profesionales que intervengan en el procedimiento de contratación pública.</w:t>
            </w:r>
          </w:p>
          <w:p w14:paraId="065B7C81" w14:textId="77777777" w:rsidR="00A333F5" w:rsidRPr="00A333F5" w:rsidRDefault="00A333F5" w:rsidP="00A333F5">
            <w:pPr>
              <w:widowControl w:val="0"/>
              <w:ind w:right="97"/>
              <w:contextualSpacing w:val="0"/>
              <w:jc w:val="both"/>
              <w:rPr>
                <w:rFonts w:cstheme="minorHAnsi"/>
                <w:b w:val="0"/>
                <w:bCs w:val="0"/>
                <w:color w:val="000000"/>
                <w:sz w:val="24"/>
                <w:szCs w:val="24"/>
                <w:lang w:val="es-CR"/>
              </w:rPr>
            </w:pPr>
          </w:p>
          <w:p w14:paraId="67C6048A" w14:textId="7EC4122A" w:rsidR="00A502A0" w:rsidRDefault="00000000" w:rsidP="00A333F5">
            <w:pPr>
              <w:widowControl w:val="0"/>
              <w:ind w:right="97"/>
              <w:contextualSpacing w:val="0"/>
              <w:jc w:val="both"/>
              <w:rPr>
                <w:rFonts w:eastAsia="Calibri" w:cstheme="minorHAnsi"/>
                <w:color w:val="000000"/>
                <w:sz w:val="24"/>
                <w:szCs w:val="24"/>
                <w:lang w:val="es-CR"/>
              </w:rPr>
            </w:pPr>
            <w:r w:rsidRPr="00A333F5">
              <w:rPr>
                <w:rFonts w:eastAsia="Calibri" w:cstheme="minorHAnsi"/>
                <w:b w:val="0"/>
                <w:bCs w:val="0"/>
                <w:color w:val="000000"/>
                <w:sz w:val="24"/>
                <w:szCs w:val="24"/>
                <w:lang w:val="es-CR"/>
              </w:rPr>
              <w:t>Existirá participación indirecta de los servidores públicos cuando por interpósita persona (por medio de un tercero), física o jurídica, se participe en los procedimientos de contratación (Art. 25 Ley N°9986).</w:t>
            </w:r>
          </w:p>
          <w:p w14:paraId="42F9C307" w14:textId="77777777" w:rsidR="00A333F5" w:rsidRPr="00A333F5" w:rsidRDefault="00A333F5" w:rsidP="00A333F5">
            <w:pPr>
              <w:widowControl w:val="0"/>
              <w:ind w:right="97"/>
              <w:contextualSpacing w:val="0"/>
              <w:jc w:val="both"/>
              <w:rPr>
                <w:rFonts w:cstheme="minorHAnsi"/>
                <w:b w:val="0"/>
                <w:bCs w:val="0"/>
                <w:color w:val="000000"/>
                <w:sz w:val="24"/>
                <w:szCs w:val="24"/>
                <w:lang w:val="es-CR"/>
              </w:rPr>
            </w:pPr>
          </w:p>
          <w:p w14:paraId="32A91466" w14:textId="11879803" w:rsidR="00A502A0" w:rsidRDefault="00000000" w:rsidP="00A333F5">
            <w:pPr>
              <w:widowControl w:val="0"/>
              <w:ind w:right="97"/>
              <w:contextualSpacing w:val="0"/>
              <w:jc w:val="both"/>
              <w:rPr>
                <w:rFonts w:eastAsia="Calibri" w:cstheme="minorHAnsi"/>
                <w:color w:val="000000"/>
                <w:sz w:val="24"/>
                <w:szCs w:val="24"/>
                <w:lang w:val="es-CR"/>
              </w:rPr>
            </w:pPr>
            <w:r w:rsidRPr="00A333F5">
              <w:rPr>
                <w:rFonts w:eastAsia="Calibri" w:cstheme="minorHAnsi"/>
                <w:b w:val="0"/>
                <w:bCs w:val="0"/>
                <w:color w:val="000000"/>
                <w:sz w:val="24"/>
                <w:szCs w:val="24"/>
                <w:lang w:val="es-CR"/>
              </w:rPr>
              <w:t xml:space="preserve">Aquellas personas servidoras públicas que intervengan en cualquier etapa de los procedimientos de contratación deberán abstenerse de participar en todo tipo de decisión de la que sea posible llegar a obtener algún beneficio para sí, su cónyuge, compañero o compañera en unión de hecho o sus parientes hasta el tercer grado por consanguinidad o afinidad. Igualmente, deberá abstenerse de todo tipo de decisión en aquellos casos donde participen terceros con los que tenga relaciones profesionales, laborales o de negocios y en los procedimientos en los que participen sociedades en las que las personas antes referidas ejerzan algún </w:t>
            </w:r>
            <w:r w:rsidRPr="00A333F5">
              <w:rPr>
                <w:rFonts w:eastAsia="Calibri" w:cstheme="minorHAnsi"/>
                <w:b w:val="0"/>
                <w:bCs w:val="0"/>
                <w:color w:val="000000"/>
                <w:sz w:val="24"/>
                <w:szCs w:val="24"/>
                <w:lang w:val="es-CR"/>
              </w:rPr>
              <w:lastRenderedPageBreak/>
              <w:t>puesto de dirección o representación o tengan participación en el capital social o sean beneficiarias finales.</w:t>
            </w:r>
          </w:p>
          <w:p w14:paraId="19DF6DA2" w14:textId="77777777" w:rsidR="00C70337" w:rsidRPr="00A333F5" w:rsidRDefault="00C70337" w:rsidP="00A333F5">
            <w:pPr>
              <w:widowControl w:val="0"/>
              <w:ind w:right="97"/>
              <w:contextualSpacing w:val="0"/>
              <w:jc w:val="both"/>
              <w:rPr>
                <w:rFonts w:cstheme="minorHAnsi"/>
                <w:b w:val="0"/>
                <w:bCs w:val="0"/>
                <w:color w:val="000000"/>
                <w:sz w:val="24"/>
                <w:szCs w:val="24"/>
                <w:lang w:val="es-CR"/>
              </w:rPr>
            </w:pPr>
          </w:p>
          <w:p w14:paraId="1B8066F9" w14:textId="77777777" w:rsidR="00A502A0" w:rsidRPr="00A333F5" w:rsidRDefault="00000000" w:rsidP="00A333F5">
            <w:pPr>
              <w:widowControl w:val="0"/>
              <w:ind w:right="97"/>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En caso de duda sobre la existencia de un conflicto de intereses en los términos del párrafo anterior, se deberá optar por la abstención (Art. 27 Ley N°9986).</w:t>
            </w:r>
          </w:p>
          <w:p w14:paraId="27FB10BC" w14:textId="77777777" w:rsidR="00A502A0" w:rsidRPr="00A333F5" w:rsidRDefault="00A502A0" w:rsidP="00A333F5">
            <w:pPr>
              <w:widowControl w:val="0"/>
              <w:ind w:right="97"/>
              <w:contextualSpacing w:val="0"/>
              <w:jc w:val="both"/>
              <w:rPr>
                <w:rFonts w:eastAsia="Calibri" w:cstheme="minorHAnsi"/>
                <w:b w:val="0"/>
                <w:bCs w:val="0"/>
                <w:color w:val="000000"/>
                <w:sz w:val="24"/>
                <w:szCs w:val="24"/>
                <w:lang w:val="es-CR"/>
              </w:rPr>
            </w:pPr>
          </w:p>
        </w:tc>
        <w:tc>
          <w:tcPr>
            <w:tcW w:w="313" w:type="pct"/>
          </w:tcPr>
          <w:p w14:paraId="65BDD190"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3E1D7647"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0B4F4A07"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7BD7A5E9"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C70337" w14:paraId="1923EF3D"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52BE0FAC" w14:textId="77777777" w:rsidR="00C70337" w:rsidRDefault="00C70337" w:rsidP="00A333F5">
            <w:pPr>
              <w:widowControl w:val="0"/>
              <w:ind w:right="97"/>
              <w:contextualSpacing w:val="0"/>
              <w:jc w:val="both"/>
              <w:rPr>
                <w:rFonts w:eastAsia="Calibri" w:cstheme="minorHAnsi"/>
                <w:color w:val="000000"/>
                <w:sz w:val="24"/>
                <w:szCs w:val="24"/>
                <w:lang w:val="es-CR"/>
              </w:rPr>
            </w:pPr>
            <w:r w:rsidRPr="00A333F5">
              <w:rPr>
                <w:rFonts w:eastAsia="Calibri" w:cstheme="minorHAnsi"/>
                <w:b w:val="0"/>
                <w:bCs w:val="0"/>
                <w:color w:val="000000"/>
                <w:sz w:val="24"/>
                <w:szCs w:val="24"/>
                <w:lang w:val="es-CR"/>
              </w:rPr>
              <w:lastRenderedPageBreak/>
              <w:t xml:space="preserve">¿La Junta verificó que todo interesado como oferente o como subcontratista, previo a la participación en todo procedimiento de contratación pública, haya rendido la declaración jurada que deberá formar parte del Registro de Proveedores que conformará la Dirección de Contratación Pública, el cual será de acceso público y estará disponible para su consulta y verificación por parte de cualquier interesado, a través del sistema digital unificado (SICOP)? </w:t>
            </w:r>
          </w:p>
          <w:p w14:paraId="31081C77" w14:textId="77777777" w:rsidR="00C70337" w:rsidRDefault="00C70337" w:rsidP="00A333F5">
            <w:pPr>
              <w:widowControl w:val="0"/>
              <w:ind w:right="97"/>
              <w:contextualSpacing w:val="0"/>
              <w:jc w:val="both"/>
              <w:rPr>
                <w:rFonts w:eastAsia="Calibri" w:cstheme="minorHAnsi"/>
                <w:color w:val="000000"/>
                <w:sz w:val="24"/>
                <w:szCs w:val="24"/>
                <w:lang w:val="es-CR"/>
              </w:rPr>
            </w:pPr>
          </w:p>
          <w:p w14:paraId="25C8F644" w14:textId="360871C1" w:rsidR="00A502A0" w:rsidRPr="00C70337" w:rsidRDefault="00C70337" w:rsidP="00A333F5">
            <w:pPr>
              <w:widowControl w:val="0"/>
              <w:ind w:right="97"/>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En todos los concursos en que presenten sus propuestas, los oferentes y subcontratistas deberán manifestar expresamente en su oferta que la información contenida en la declaración jurada, presentada en el registro que al efecto lleve la Dirección de Contratación Pública, ¿se mantiene invariable? (Art. 29 Ley N°9986 y 31 y 32 del Reglamento).</w:t>
            </w:r>
          </w:p>
          <w:p w14:paraId="299C57FC" w14:textId="77777777" w:rsidR="00A502A0" w:rsidRPr="00A333F5" w:rsidRDefault="00A502A0" w:rsidP="00A333F5">
            <w:pPr>
              <w:widowControl w:val="0"/>
              <w:ind w:right="97"/>
              <w:contextualSpacing w:val="0"/>
              <w:jc w:val="both"/>
              <w:rPr>
                <w:rFonts w:eastAsia="Calibri" w:cstheme="minorHAnsi"/>
                <w:b w:val="0"/>
                <w:bCs w:val="0"/>
                <w:color w:val="000000"/>
                <w:sz w:val="24"/>
                <w:szCs w:val="24"/>
                <w:lang w:val="es-CR"/>
              </w:rPr>
            </w:pPr>
          </w:p>
        </w:tc>
        <w:tc>
          <w:tcPr>
            <w:tcW w:w="313" w:type="pct"/>
          </w:tcPr>
          <w:p w14:paraId="6DE82ABF"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7EBCD72C"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2D97A181"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2D1BA8B5"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5461B8B7"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129DB594" w14:textId="61A37C82" w:rsidR="00A502A0" w:rsidRPr="00C70337" w:rsidRDefault="00C70337" w:rsidP="00A333F5">
            <w:pPr>
              <w:widowControl w:val="0"/>
              <w:ind w:right="97"/>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 xml:space="preserve">¿La Junta (si corresponde) verificó que, para poder participar en los procedimientos de contratación pública, pese a la existencia de la causal de prohibición, el oferente deberá hacer constar en la declaración jurada la condición de desafectación que habilite su </w:t>
            </w:r>
            <w:r w:rsidRPr="00A333F5">
              <w:rPr>
                <w:rFonts w:eastAsia="Calibri" w:cstheme="minorHAnsi"/>
                <w:b w:val="0"/>
                <w:bCs w:val="0"/>
                <w:color w:val="000000"/>
                <w:sz w:val="24"/>
                <w:szCs w:val="24"/>
                <w:lang w:val="es-CR"/>
              </w:rPr>
              <w:lastRenderedPageBreak/>
              <w:t>participación; lo anterior deberá ser advertido en la oferta correspondiente? En caso de inobservancia dará lugar a las sanciones penales y administrativas establecidas en la presente Ley (Art. 30 Ley N°9986).</w:t>
            </w:r>
          </w:p>
          <w:p w14:paraId="474BAE01" w14:textId="77777777" w:rsidR="00A502A0" w:rsidRPr="00C70337" w:rsidRDefault="00A502A0" w:rsidP="00A333F5">
            <w:pPr>
              <w:widowControl w:val="0"/>
              <w:ind w:right="97"/>
              <w:contextualSpacing w:val="0"/>
              <w:jc w:val="both"/>
              <w:rPr>
                <w:rFonts w:cstheme="minorHAnsi"/>
                <w:b w:val="0"/>
                <w:bCs w:val="0"/>
                <w:color w:val="000000"/>
                <w:sz w:val="24"/>
                <w:szCs w:val="24"/>
                <w:lang w:val="es-CR"/>
              </w:rPr>
            </w:pPr>
          </w:p>
        </w:tc>
        <w:tc>
          <w:tcPr>
            <w:tcW w:w="313" w:type="pct"/>
          </w:tcPr>
          <w:p w14:paraId="3D5F41E4"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0A6FA664"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784F06A4"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0ABECA40"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69533C40"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43F8188D" w14:textId="77777777" w:rsidR="00A502A0" w:rsidRPr="00A333F5" w:rsidRDefault="00000000" w:rsidP="00A333F5">
            <w:pPr>
              <w:widowControl w:val="0"/>
              <w:ind w:right="97"/>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¿La Junta verificó que no se esté fragmentando las adquisiciones de los bienes, las obras y los servicios que requiera con el propósito de variar el procedimiento de contratación? (Art. 33 Ley N°9986 y Art. 83 del Reglamento Ley N°9986).</w:t>
            </w:r>
          </w:p>
          <w:p w14:paraId="1FD2AB6C" w14:textId="77777777" w:rsidR="00A502A0" w:rsidRPr="00A333F5" w:rsidRDefault="00A502A0" w:rsidP="00A333F5">
            <w:pPr>
              <w:widowControl w:val="0"/>
              <w:ind w:right="97"/>
              <w:contextualSpacing w:val="0"/>
              <w:jc w:val="both"/>
              <w:rPr>
                <w:rFonts w:eastAsia="Calibri" w:cstheme="minorHAnsi"/>
                <w:b w:val="0"/>
                <w:bCs w:val="0"/>
                <w:color w:val="000000"/>
                <w:sz w:val="24"/>
                <w:szCs w:val="24"/>
                <w:lang w:val="es-CR"/>
              </w:rPr>
            </w:pPr>
          </w:p>
        </w:tc>
        <w:tc>
          <w:tcPr>
            <w:tcW w:w="313" w:type="pct"/>
          </w:tcPr>
          <w:p w14:paraId="70070BAC"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5957C396"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16F7464F"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2750FEFF"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0A3FC3F9"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393B4542" w14:textId="77777777" w:rsidR="00A502A0" w:rsidRPr="00A333F5" w:rsidRDefault="00000000" w:rsidP="00A333F5">
            <w:pPr>
              <w:widowControl w:val="0"/>
              <w:ind w:right="97"/>
              <w:jc w:val="both"/>
              <w:rPr>
                <w:rFonts w:cstheme="minorHAnsi"/>
                <w:b w:val="0"/>
                <w:bCs w:val="0"/>
                <w:color w:val="000000"/>
                <w:sz w:val="24"/>
                <w:szCs w:val="24"/>
              </w:rPr>
            </w:pPr>
            <w:r w:rsidRPr="00A333F5">
              <w:rPr>
                <w:rFonts w:eastAsia="Calibri" w:cstheme="minorHAnsi"/>
                <w:b w:val="0"/>
                <w:bCs w:val="0"/>
                <w:color w:val="000000"/>
                <w:sz w:val="24"/>
                <w:szCs w:val="24"/>
                <w:lang w:val="es-CR"/>
              </w:rPr>
              <w:t>¿La Junta comprende que los recursos en materia de contratación pública son el recurso de objeción al pliego de condiciones y el recurso de apelación o revocatoria en contra del acto de adjudicación, el que declare desierto o declare infructuoso el concurso según se dispone en esta ley. Para el cómputo de los plazos, estos empezarán a correr el día hábil siguiente a la notificación de todas las partes? (Art. 86 Ley N°9986).</w:t>
            </w:r>
          </w:p>
        </w:tc>
        <w:tc>
          <w:tcPr>
            <w:tcW w:w="313" w:type="pct"/>
          </w:tcPr>
          <w:p w14:paraId="31DCBEEF"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7C959503"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11828B27"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582122C5"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7026792D" w14:textId="77777777" w:rsidTr="006F43E4">
        <w:trPr>
          <w:cnfStyle w:val="000000100000" w:firstRow="0" w:lastRow="0" w:firstColumn="0" w:lastColumn="0" w:oddVBand="0" w:evenVBand="0" w:oddHBand="1" w:evenHBand="0" w:firstRowFirstColumn="0" w:firstRowLastColumn="0" w:lastRowFirstColumn="0" w:lastRowLastColumn="0"/>
          <w:trHeight w:val="448"/>
        </w:trPr>
        <w:tc>
          <w:tcPr>
            <w:cnfStyle w:val="001000000000" w:firstRow="0" w:lastRow="0" w:firstColumn="1" w:lastColumn="0" w:oddVBand="0" w:evenVBand="0" w:oddHBand="0" w:evenHBand="0" w:firstRowFirstColumn="0" w:firstRowLastColumn="0" w:lastRowFirstColumn="0" w:lastRowLastColumn="0"/>
            <w:tcW w:w="2231" w:type="pct"/>
          </w:tcPr>
          <w:p w14:paraId="4B4DEA38" w14:textId="77777777" w:rsidR="00A502A0" w:rsidRPr="00A333F5" w:rsidRDefault="00A502A0">
            <w:pPr>
              <w:widowControl w:val="0"/>
              <w:contextualSpacing w:val="0"/>
              <w:jc w:val="both"/>
              <w:rPr>
                <w:rFonts w:eastAsia="Calibri" w:cstheme="minorHAnsi"/>
                <w:b w:val="0"/>
                <w:bCs w:val="0"/>
                <w:color w:val="000000"/>
                <w:sz w:val="24"/>
                <w:szCs w:val="24"/>
                <w:lang w:val="es-CR"/>
              </w:rPr>
            </w:pPr>
          </w:p>
        </w:tc>
        <w:tc>
          <w:tcPr>
            <w:tcW w:w="313" w:type="pct"/>
          </w:tcPr>
          <w:p w14:paraId="071F3A1E"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54054738"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698A23A1"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7385D417"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502A0" w:rsidRPr="005F0468" w14:paraId="1CE67025" w14:textId="77777777" w:rsidTr="006F43E4">
        <w:trPr>
          <w:trHeight w:val="667"/>
        </w:trPr>
        <w:tc>
          <w:tcPr>
            <w:cnfStyle w:val="001000000000" w:firstRow="0" w:lastRow="0" w:firstColumn="1" w:lastColumn="0" w:oddVBand="0" w:evenVBand="0" w:oddHBand="0" w:evenHBand="0" w:firstRowFirstColumn="0" w:firstRowLastColumn="0" w:lastRowFirstColumn="0" w:lastRowLastColumn="0"/>
            <w:tcW w:w="5000" w:type="pct"/>
            <w:gridSpan w:val="5"/>
          </w:tcPr>
          <w:p w14:paraId="0F03B93F" w14:textId="77777777" w:rsidR="00A502A0" w:rsidRPr="00A333F5" w:rsidRDefault="00000000">
            <w:pPr>
              <w:widowControl w:val="0"/>
              <w:contextualSpacing w:val="0"/>
              <w:jc w:val="both"/>
              <w:rPr>
                <w:rFonts w:cstheme="minorHAnsi"/>
                <w:color w:val="000000"/>
                <w:sz w:val="32"/>
                <w:szCs w:val="32"/>
                <w:shd w:val="clear" w:color="auto" w:fill="729FCF"/>
                <w:lang w:val="es-CR"/>
              </w:rPr>
            </w:pPr>
            <w:r w:rsidRPr="00A333F5">
              <w:rPr>
                <w:rFonts w:eastAsia="Calibri" w:cstheme="minorHAnsi"/>
                <w:color w:val="000000"/>
                <w:sz w:val="32"/>
                <w:szCs w:val="32"/>
                <w:shd w:val="clear" w:color="auto" w:fill="729FCF"/>
                <w:lang w:val="es-CR"/>
              </w:rPr>
              <w:t>SOBRE EL PLIEGO DE CONDICIONES</w:t>
            </w:r>
          </w:p>
        </w:tc>
      </w:tr>
      <w:tr w:rsidR="00A333F5" w:rsidRPr="00A333F5" w14:paraId="58E28148"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4F68EF24" w14:textId="77777777" w:rsidR="00A502A0" w:rsidRPr="00A333F5" w:rsidRDefault="00000000">
            <w:pPr>
              <w:widowControl w:val="0"/>
              <w:spacing w:before="240"/>
              <w:contextualSpacing w:val="0"/>
              <w:jc w:val="both"/>
              <w:rPr>
                <w:rFonts w:cstheme="minorHAnsi"/>
                <w:b w:val="0"/>
                <w:bCs w:val="0"/>
                <w:color w:val="000000"/>
                <w:sz w:val="24"/>
                <w:szCs w:val="24"/>
              </w:rPr>
            </w:pPr>
            <w:r w:rsidRPr="00A333F5">
              <w:rPr>
                <w:rFonts w:eastAsia="Calibri" w:cstheme="minorHAnsi"/>
                <w:b w:val="0"/>
                <w:bCs w:val="0"/>
                <w:color w:val="000000"/>
                <w:sz w:val="24"/>
                <w:szCs w:val="24"/>
                <w:lang w:val="es-CR"/>
              </w:rPr>
              <w:t>¿Se estableció en el pliego de condiciones identificación de la Administración promovente, la indicación del tipo y número del concurso, una breve descripción del objeto contractual y el presupuesto detallado disponible para la contratación? (Art. 90 Reglamento Ley N°9986).</w:t>
            </w:r>
          </w:p>
        </w:tc>
        <w:tc>
          <w:tcPr>
            <w:tcW w:w="313" w:type="pct"/>
          </w:tcPr>
          <w:p w14:paraId="07AB1EA9"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4AC3E00F"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57776ECC"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1BE26FAA"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5EF2AB40"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04868DA9"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lastRenderedPageBreak/>
              <w:t>¿Se estableció en el pliego de condiciones indicación de la dependencia que tramita el procedimiento y de los funcionarios que proporcionará la información adicional necesaria respecto de las especificaciones y documentación relacionada? (Art. 90 Reglamento Ley N°9986).</w:t>
            </w:r>
          </w:p>
          <w:p w14:paraId="38F55274" w14:textId="77777777" w:rsidR="00A502A0" w:rsidRPr="00A333F5" w:rsidRDefault="00A502A0">
            <w:pPr>
              <w:widowControl w:val="0"/>
              <w:spacing w:before="240"/>
              <w:contextualSpacing w:val="0"/>
              <w:jc w:val="both"/>
              <w:rPr>
                <w:rFonts w:eastAsia="Calibri" w:cstheme="minorHAnsi"/>
                <w:color w:val="000000"/>
                <w:lang w:val="es-CR"/>
              </w:rPr>
            </w:pPr>
          </w:p>
        </w:tc>
        <w:tc>
          <w:tcPr>
            <w:tcW w:w="313" w:type="pct"/>
          </w:tcPr>
          <w:p w14:paraId="3668FF9D"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7522EAD8"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5798653E"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0C70D045"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493C3571"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1EA09B55" w14:textId="77777777" w:rsidR="00A502A0" w:rsidRPr="00A333F5" w:rsidRDefault="00000000">
            <w:pPr>
              <w:widowControl w:val="0"/>
              <w:suppressAutoHyphens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 xml:space="preserve">¿Se indica en el pliego de condiciones, de manera expresa, los estudios a los que se someterán las ofertas para determinar su elegibilidad, ya sean legales, técnicos, financieros u otros? (Art. 40 Ley N°9986 y </w:t>
            </w:r>
            <w:r w:rsidRPr="00A333F5">
              <w:rPr>
                <w:rFonts w:cstheme="minorHAnsi"/>
                <w:b w:val="0"/>
                <w:bCs w:val="0"/>
                <w:color w:val="000000"/>
                <w:sz w:val="24"/>
                <w:szCs w:val="24"/>
                <w:lang w:val="es-ES"/>
              </w:rPr>
              <w:t>Art. 90 Reglamento Ley N°9986)</w:t>
            </w:r>
            <w:r w:rsidRPr="00A333F5">
              <w:rPr>
                <w:rFonts w:eastAsia="Calibri" w:cstheme="minorHAnsi"/>
                <w:b w:val="0"/>
                <w:bCs w:val="0"/>
                <w:color w:val="000000"/>
                <w:sz w:val="24"/>
                <w:szCs w:val="24"/>
                <w:lang w:val="es-CR"/>
              </w:rPr>
              <w:t>.</w:t>
            </w:r>
          </w:p>
          <w:p w14:paraId="1273C0A2" w14:textId="77777777" w:rsidR="00A502A0" w:rsidRPr="00A333F5" w:rsidRDefault="00A502A0">
            <w:pPr>
              <w:widowControl w:val="0"/>
              <w:suppressAutoHyphens w:val="0"/>
              <w:contextualSpacing w:val="0"/>
              <w:jc w:val="both"/>
              <w:rPr>
                <w:rFonts w:eastAsia="Calibri" w:cstheme="minorHAnsi"/>
                <w:b w:val="0"/>
                <w:bCs w:val="0"/>
                <w:color w:val="000000"/>
                <w:sz w:val="24"/>
                <w:szCs w:val="24"/>
                <w:lang w:val="es-CR"/>
              </w:rPr>
            </w:pPr>
          </w:p>
        </w:tc>
        <w:tc>
          <w:tcPr>
            <w:tcW w:w="313" w:type="pct"/>
          </w:tcPr>
          <w:p w14:paraId="7DB1B587"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258E0277"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540163F9"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54653201"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302CDE5D"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25DB0B2A"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¿Indica la fecha y hora para el inicio y cierre de la recepción de ofertas? (Art. 51 Ley N°9986 y Art. 90, 145, 153 y 156 Reglamento Ley N°9986).</w:t>
            </w:r>
          </w:p>
        </w:tc>
        <w:tc>
          <w:tcPr>
            <w:tcW w:w="313" w:type="pct"/>
          </w:tcPr>
          <w:p w14:paraId="5F481F4D"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6CE5AD07"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422BE080"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28506B30"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3B01B911"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445B6C07"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¿Indica el lugar, fecha y hora de la apertura de ofertas?</w:t>
            </w:r>
          </w:p>
        </w:tc>
        <w:tc>
          <w:tcPr>
            <w:tcW w:w="313" w:type="pct"/>
          </w:tcPr>
          <w:p w14:paraId="024C2502"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3E3476BF"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7DBC5FFE"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3EBB859D"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2CD8BD66"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4C25A3A2"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 xml:space="preserve">¿Si es una licitación mayor o licitación menor, se </w:t>
            </w:r>
            <w:r w:rsidRPr="00A333F5">
              <w:rPr>
                <w:rFonts w:cstheme="minorHAnsi"/>
                <w:b w:val="0"/>
                <w:bCs w:val="0"/>
                <w:color w:val="000000"/>
                <w:sz w:val="24"/>
                <w:szCs w:val="24"/>
                <w:lang w:val="es-CR"/>
              </w:rPr>
              <w:t>estipuló que la garantía de cumplimiento será exigible? Si es una licitación reducida es facultativa para la Junta (Art. 43 Ley N°9986 y Art. 110 Reglamento Ley N°9986)</w:t>
            </w:r>
          </w:p>
          <w:p w14:paraId="5B034B40" w14:textId="77777777" w:rsidR="00A502A0" w:rsidRPr="00A333F5" w:rsidRDefault="00A502A0">
            <w:pPr>
              <w:widowControl w:val="0"/>
              <w:contextualSpacing w:val="0"/>
              <w:jc w:val="both"/>
              <w:rPr>
                <w:rFonts w:cstheme="minorHAnsi"/>
                <w:b w:val="0"/>
                <w:bCs w:val="0"/>
                <w:color w:val="000000"/>
                <w:sz w:val="24"/>
                <w:szCs w:val="24"/>
                <w:lang w:val="es-CR"/>
              </w:rPr>
            </w:pPr>
          </w:p>
        </w:tc>
        <w:tc>
          <w:tcPr>
            <w:tcW w:w="313" w:type="pct"/>
          </w:tcPr>
          <w:p w14:paraId="286AC871"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23986A00"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29273866"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60AB75F2"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163E07CA"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11E6CEE5" w14:textId="77777777" w:rsidR="00A502A0" w:rsidRPr="00A333F5" w:rsidRDefault="00000000">
            <w:pPr>
              <w:widowControl w:val="0"/>
              <w:suppressAutoHyphens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 xml:space="preserve">¿Se indica el porcentaje de la garantía de cumplimiento (entre un cinco por ciento (5%) y un diez por ciento (10%) del monto de la adjudicación)? En caso de que el pliego no defina la exigencia de rendir garantía ni el porcentaje de esta, se entenderá que </w:t>
            </w:r>
            <w:r w:rsidRPr="00A333F5">
              <w:rPr>
                <w:rFonts w:eastAsia="Calibri" w:cstheme="minorHAnsi"/>
                <w:b w:val="0"/>
                <w:bCs w:val="0"/>
                <w:color w:val="000000"/>
                <w:sz w:val="24"/>
                <w:szCs w:val="24"/>
                <w:lang w:val="es-CR"/>
              </w:rPr>
              <w:lastRenderedPageBreak/>
              <w:t xml:space="preserve">deberá rendirse por el cinco por ciento (5%) del monto de la adjudicación (Art. 44 Ley N°9986 y </w:t>
            </w:r>
            <w:r w:rsidRPr="00A333F5">
              <w:rPr>
                <w:rFonts w:cstheme="minorHAnsi"/>
                <w:b w:val="0"/>
                <w:bCs w:val="0"/>
                <w:color w:val="000000"/>
                <w:sz w:val="24"/>
                <w:szCs w:val="24"/>
                <w:lang w:val="es-CR"/>
              </w:rPr>
              <w:t>Art. 90 y 110 Reglamento Ley N°9986</w:t>
            </w:r>
            <w:r w:rsidRPr="00A333F5">
              <w:rPr>
                <w:rFonts w:eastAsia="Calibri" w:cstheme="minorHAnsi"/>
                <w:b w:val="0"/>
                <w:bCs w:val="0"/>
                <w:color w:val="000000"/>
                <w:sz w:val="24"/>
                <w:szCs w:val="24"/>
                <w:lang w:val="es-CR"/>
              </w:rPr>
              <w:t>).</w:t>
            </w:r>
          </w:p>
          <w:p w14:paraId="5E9BDCB0" w14:textId="77777777" w:rsidR="00A502A0" w:rsidRPr="00A333F5" w:rsidRDefault="00A502A0">
            <w:pPr>
              <w:widowControl w:val="0"/>
              <w:suppressAutoHyphens w:val="0"/>
              <w:contextualSpacing w:val="0"/>
              <w:jc w:val="both"/>
              <w:rPr>
                <w:rFonts w:cstheme="minorHAnsi"/>
                <w:b w:val="0"/>
                <w:bCs w:val="0"/>
                <w:color w:val="000000"/>
                <w:sz w:val="24"/>
                <w:szCs w:val="24"/>
                <w:lang w:val="es-CR"/>
              </w:rPr>
            </w:pPr>
          </w:p>
        </w:tc>
        <w:tc>
          <w:tcPr>
            <w:tcW w:w="313" w:type="pct"/>
          </w:tcPr>
          <w:p w14:paraId="1C6E404E"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4CA5A72F"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0A0B8E6B"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78635843"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403C058A"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64BD9730" w14:textId="77777777" w:rsidR="00A502A0" w:rsidRPr="00A333F5" w:rsidRDefault="00000000">
            <w:pPr>
              <w:widowControl w:val="0"/>
              <w:suppressAutoHyphens w:val="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CR"/>
              </w:rPr>
              <w:t>Indicación de las especies fiscales y demás timbres que deba aportar el oferente (Art. 90 Reglamento Ley N°9986).</w:t>
            </w:r>
          </w:p>
        </w:tc>
        <w:tc>
          <w:tcPr>
            <w:tcW w:w="313" w:type="pct"/>
          </w:tcPr>
          <w:p w14:paraId="585DFF3A"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29153867"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2E218336"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56B38682"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1253F744"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59AD5094" w14:textId="77777777" w:rsidR="00A502A0" w:rsidRPr="00A333F5" w:rsidRDefault="00000000">
            <w:pPr>
              <w:widowControl w:val="0"/>
              <w:jc w:val="both"/>
              <w:rPr>
                <w:rFonts w:cstheme="minorHAnsi"/>
                <w:b w:val="0"/>
                <w:bCs w:val="0"/>
                <w:color w:val="000000"/>
                <w:sz w:val="24"/>
                <w:szCs w:val="24"/>
              </w:rPr>
            </w:pPr>
            <w:r w:rsidRPr="00A333F5">
              <w:rPr>
                <w:rFonts w:cstheme="minorHAnsi"/>
                <w:b w:val="0"/>
                <w:bCs w:val="0"/>
                <w:color w:val="000000"/>
                <w:sz w:val="24"/>
                <w:szCs w:val="24"/>
                <w:lang w:val="es-CR"/>
              </w:rPr>
              <w:t>¿Indicación de que se reserva el derecho de adjudicar parcialmente una misma línea o bien parte de un mismo objeto de conformidad con lo establecido en la decisión inicial. En este último caso, esta alternativa será posible cuando el objeto lo permita y ello no afecte su funcionalidad. En ambos supuestos se exigirá, al menos, los precios unitarios cuando la modalidad de contratación lo requiere técnicamente. No será necesario advertir en el pliego de condiciones, la posibilidad de adjudicar parte de la totalidad de las líneas contempladas en éste. La obligación de participar en la totalidad de las líneas, solamente será posible cuando exista una justificación técnica para ello y así haya sido advertido en el pliego de condiciones? (Art. 90 Reglamento Ley N°9986 y Art 104</w:t>
            </w:r>
            <w:r w:rsidRPr="00A333F5">
              <w:rPr>
                <w:rFonts w:eastAsia="Calibri" w:cstheme="minorHAnsi"/>
                <w:b w:val="0"/>
                <w:bCs w:val="0"/>
                <w:color w:val="1E1E1F"/>
                <w:sz w:val="24"/>
                <w:szCs w:val="24"/>
                <w:lang w:val="es-CR"/>
              </w:rPr>
              <w:t xml:space="preserve"> Reglamento Ley N°9986</w:t>
            </w:r>
            <w:r w:rsidRPr="00A333F5">
              <w:rPr>
                <w:rFonts w:cstheme="minorHAnsi"/>
                <w:b w:val="0"/>
                <w:bCs w:val="0"/>
                <w:color w:val="000000"/>
                <w:sz w:val="24"/>
                <w:szCs w:val="24"/>
                <w:lang w:val="es-CR"/>
              </w:rPr>
              <w:t>).</w:t>
            </w:r>
          </w:p>
          <w:p w14:paraId="68F9289C" w14:textId="77777777" w:rsidR="00A502A0" w:rsidRPr="00A333F5" w:rsidRDefault="00A502A0">
            <w:pPr>
              <w:widowControl w:val="0"/>
              <w:jc w:val="both"/>
              <w:rPr>
                <w:rFonts w:cstheme="minorHAnsi"/>
                <w:lang w:val="es-CR"/>
              </w:rPr>
            </w:pPr>
          </w:p>
        </w:tc>
        <w:tc>
          <w:tcPr>
            <w:tcW w:w="313" w:type="pct"/>
          </w:tcPr>
          <w:p w14:paraId="3997E9A0"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13EA69C2"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22E7E7A8"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35AEEA01"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6691C8F9"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3A41A972" w14:textId="77777777" w:rsidR="00A502A0" w:rsidRPr="00A333F5" w:rsidRDefault="00000000">
            <w:pPr>
              <w:widowControl w:val="0"/>
              <w:suppressAutoHyphens w:val="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CR"/>
              </w:rPr>
              <w:t>¿Se estableció que el medio de notificación de la Junta, es el correo oficial brindado por el MEP a cada una de ellas?</w:t>
            </w:r>
          </w:p>
          <w:p w14:paraId="040E47AB" w14:textId="77777777" w:rsidR="00A502A0" w:rsidRPr="00A333F5" w:rsidRDefault="00A502A0">
            <w:pPr>
              <w:widowControl w:val="0"/>
              <w:suppressAutoHyphens w:val="0"/>
              <w:contextualSpacing w:val="0"/>
              <w:jc w:val="both"/>
              <w:rPr>
                <w:rFonts w:cstheme="minorHAnsi"/>
                <w:lang w:val="es-CR"/>
              </w:rPr>
            </w:pPr>
          </w:p>
        </w:tc>
        <w:tc>
          <w:tcPr>
            <w:tcW w:w="313" w:type="pct"/>
          </w:tcPr>
          <w:p w14:paraId="32E02903"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5C923347"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6FC606CD"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1AFFE8C7"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6281AC9B"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01D7D885" w14:textId="77777777" w:rsidR="00A502A0" w:rsidRPr="00A333F5" w:rsidRDefault="00000000">
            <w:pPr>
              <w:widowControl w:val="0"/>
              <w:suppressAutoHyphens w:val="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CR"/>
              </w:rPr>
              <w:t xml:space="preserve">¿Se estableció la resolución de controversias cuando así proceda </w:t>
            </w:r>
            <w:r w:rsidRPr="00A333F5">
              <w:rPr>
                <w:rFonts w:cstheme="minorHAnsi"/>
                <w:b w:val="0"/>
                <w:bCs w:val="0"/>
                <w:color w:val="000000"/>
                <w:sz w:val="24"/>
                <w:szCs w:val="24"/>
                <w:lang w:val="es-ES"/>
              </w:rPr>
              <w:t>(Art. 90 Reglamento Ley N°9986).</w:t>
            </w:r>
          </w:p>
          <w:p w14:paraId="509A148C" w14:textId="77777777" w:rsidR="00A502A0" w:rsidRPr="00A333F5" w:rsidRDefault="00A502A0">
            <w:pPr>
              <w:widowControl w:val="0"/>
              <w:suppressAutoHyphens w:val="0"/>
              <w:contextualSpacing w:val="0"/>
              <w:jc w:val="both"/>
              <w:rPr>
                <w:rFonts w:cstheme="minorHAnsi"/>
                <w:lang w:val="es-ES"/>
              </w:rPr>
            </w:pPr>
          </w:p>
        </w:tc>
        <w:tc>
          <w:tcPr>
            <w:tcW w:w="313" w:type="pct"/>
          </w:tcPr>
          <w:p w14:paraId="42131B79"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7211CEEA"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303BDEAB"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03DA231C"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4AF421A5"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23C7A26F" w14:textId="77777777" w:rsidR="00A502A0" w:rsidRPr="00A333F5" w:rsidRDefault="00000000">
            <w:pPr>
              <w:widowControl w:val="0"/>
              <w:suppressAutoHyphens w:val="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CR"/>
              </w:rPr>
              <w:lastRenderedPageBreak/>
              <w:t xml:space="preserve">¿Se establecieron los requisitos mínimos de admisibilidad </w:t>
            </w:r>
            <w:r w:rsidRPr="00A333F5">
              <w:rPr>
                <w:rFonts w:cstheme="minorHAnsi"/>
                <w:b w:val="0"/>
                <w:bCs w:val="0"/>
                <w:color w:val="000000"/>
                <w:sz w:val="24"/>
                <w:szCs w:val="24"/>
                <w:lang w:val="es-ES"/>
              </w:rPr>
              <w:t>(Art. 90 Reglamento Ley N°9986).</w:t>
            </w:r>
          </w:p>
          <w:p w14:paraId="3CAF33EC" w14:textId="77777777" w:rsidR="00A502A0" w:rsidRPr="00A333F5" w:rsidRDefault="00A502A0">
            <w:pPr>
              <w:widowControl w:val="0"/>
              <w:suppressAutoHyphens w:val="0"/>
              <w:contextualSpacing w:val="0"/>
              <w:jc w:val="both"/>
              <w:rPr>
                <w:rFonts w:cstheme="minorHAnsi"/>
                <w:lang w:val="es-ES"/>
              </w:rPr>
            </w:pPr>
          </w:p>
        </w:tc>
        <w:tc>
          <w:tcPr>
            <w:tcW w:w="313" w:type="pct"/>
          </w:tcPr>
          <w:p w14:paraId="2867B609"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2DBF2DD2"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1A4D8DC2"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2C44155B"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4740616E"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12BB8BC3" w14:textId="77777777" w:rsidR="00A502A0" w:rsidRPr="00A333F5" w:rsidRDefault="00000000">
            <w:pPr>
              <w:widowControl w:val="0"/>
              <w:suppressAutoHyphens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¿La Junta si modificó de oficio el pliego de condiciones o prorrogar el plazo de recepción de ofertas, lo hizo únicamente en dos ocasiones hasta antes de la apertura de la</w:t>
            </w:r>
            <w:r w:rsidRPr="00A333F5">
              <w:rPr>
                <w:rFonts w:cstheme="minorHAnsi"/>
                <w:b w:val="0"/>
                <w:bCs w:val="0"/>
                <w:color w:val="000000"/>
                <w:sz w:val="24"/>
                <w:szCs w:val="24"/>
                <w:lang w:val="es-CR"/>
              </w:rPr>
              <w:t>s ofertas y de conformidad con lo dispuesto en el reglamento de esta Ley? (Art. 40 Ley N°9986 y Art. 93 Reglamento Ley N°9986).</w:t>
            </w:r>
          </w:p>
          <w:p w14:paraId="3FED82FE" w14:textId="77777777" w:rsidR="00A502A0" w:rsidRPr="00A333F5" w:rsidRDefault="00A502A0">
            <w:pPr>
              <w:widowControl w:val="0"/>
              <w:suppressAutoHyphens w:val="0"/>
              <w:contextualSpacing w:val="0"/>
              <w:jc w:val="both"/>
              <w:rPr>
                <w:rFonts w:cstheme="minorHAnsi"/>
                <w:b w:val="0"/>
                <w:bCs w:val="0"/>
                <w:color w:val="000000"/>
                <w:sz w:val="24"/>
                <w:szCs w:val="24"/>
                <w:lang w:val="es-CR"/>
              </w:rPr>
            </w:pPr>
          </w:p>
        </w:tc>
        <w:tc>
          <w:tcPr>
            <w:tcW w:w="313" w:type="pct"/>
          </w:tcPr>
          <w:p w14:paraId="15C72B3C"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14D251ED"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639D9C41"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30805B6E"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1B124FAF"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0BE683F8"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ES"/>
              </w:rPr>
              <w:t>¿La Junta estableció e</w:t>
            </w:r>
            <w:r w:rsidRPr="00A333F5">
              <w:rPr>
                <w:rFonts w:eastAsia="Calibri" w:cstheme="minorHAnsi"/>
                <w:b w:val="0"/>
                <w:bCs w:val="0"/>
                <w:color w:val="000000"/>
                <w:sz w:val="24"/>
                <w:szCs w:val="24"/>
                <w:lang w:val="es-CR"/>
              </w:rPr>
              <w:t>l plazo para dictar el acto final en el pliego de condiciones, que en ningún caso podrá ser superior al doble del plazo fijado en el pliego para la recepción de ofertas? (Art. 51 Ley N°9986).</w:t>
            </w:r>
          </w:p>
          <w:p w14:paraId="25616DC1" w14:textId="77777777" w:rsidR="00A502A0" w:rsidRPr="00A333F5" w:rsidRDefault="00A502A0">
            <w:pPr>
              <w:widowControl w:val="0"/>
              <w:contextualSpacing w:val="0"/>
              <w:jc w:val="both"/>
              <w:rPr>
                <w:rFonts w:eastAsia="Calibri" w:cstheme="minorHAnsi"/>
                <w:b w:val="0"/>
                <w:bCs w:val="0"/>
                <w:color w:val="000000"/>
                <w:sz w:val="24"/>
                <w:szCs w:val="24"/>
                <w:lang w:val="es-CR"/>
              </w:rPr>
            </w:pPr>
          </w:p>
        </w:tc>
        <w:tc>
          <w:tcPr>
            <w:tcW w:w="313" w:type="pct"/>
          </w:tcPr>
          <w:p w14:paraId="25BC427B"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424F3975"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745C0FFF"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0ADEA951"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1FB6271D"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2887BC73"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ES"/>
              </w:rPr>
              <w:t>¿En el caso de la contratación de servicios, la Junta estableció claramente en el pliego de condiciones así como en el contrato que se firme (si corresponde), que la contratación es en forma temporal, que no implica una relación de empleo entre la Junta y el contratista, también la forma de remuneración de los servicios prestados, la cual podrá ser por medio de tarifas en el caso de que se encuentren remunerados por aranceles obligatorios, por unidades de tiempo, por unidades de ejecución, por los elementos de la prestación o por una combinación de estas, entre otros?</w:t>
            </w:r>
          </w:p>
          <w:p w14:paraId="7A555360" w14:textId="77777777" w:rsidR="00A502A0" w:rsidRPr="00A333F5" w:rsidRDefault="00000000">
            <w:pPr>
              <w:widowControl w:val="0"/>
              <w:jc w:val="both"/>
              <w:rPr>
                <w:rFonts w:cstheme="minorHAnsi"/>
                <w:b w:val="0"/>
                <w:bCs w:val="0"/>
                <w:color w:val="000000"/>
                <w:sz w:val="24"/>
                <w:szCs w:val="24"/>
                <w:lang w:val="es-CR"/>
              </w:rPr>
            </w:pPr>
            <w:r w:rsidRPr="00A333F5">
              <w:rPr>
                <w:rFonts w:cstheme="minorHAnsi"/>
                <w:b w:val="0"/>
                <w:bCs w:val="0"/>
                <w:color w:val="000000"/>
                <w:sz w:val="24"/>
                <w:szCs w:val="24"/>
                <w:lang w:val="es-ES"/>
              </w:rPr>
              <w:t>¿En caso de que no se cancele el servicio por tarifas, en el pliego de condiciones se deberá solicitar la estructura del precio y al adjudicatario se solicitará el presupuesto detallado?</w:t>
            </w:r>
          </w:p>
          <w:p w14:paraId="366C94A5" w14:textId="77777777" w:rsidR="00A502A0" w:rsidRPr="00A333F5" w:rsidRDefault="00000000">
            <w:pPr>
              <w:widowControl w:val="0"/>
              <w:jc w:val="both"/>
              <w:rPr>
                <w:rFonts w:cstheme="minorHAnsi"/>
                <w:b w:val="0"/>
                <w:bCs w:val="0"/>
                <w:color w:val="000000"/>
                <w:sz w:val="24"/>
                <w:szCs w:val="24"/>
              </w:rPr>
            </w:pPr>
            <w:r w:rsidRPr="00A333F5">
              <w:rPr>
                <w:rFonts w:cstheme="minorHAnsi"/>
                <w:b w:val="0"/>
                <w:bCs w:val="0"/>
                <w:color w:val="000000"/>
                <w:sz w:val="24"/>
                <w:szCs w:val="24"/>
                <w:lang w:val="es-ES"/>
              </w:rPr>
              <w:t xml:space="preserve">¿La Junta definió con claridad, entre otros aspectos, el plazo de la contratación, el cual </w:t>
            </w:r>
            <w:r w:rsidRPr="00A333F5">
              <w:rPr>
                <w:rFonts w:cstheme="minorHAnsi"/>
                <w:b w:val="0"/>
                <w:bCs w:val="0"/>
                <w:color w:val="000000"/>
                <w:sz w:val="24"/>
                <w:szCs w:val="24"/>
                <w:lang w:val="es-ES"/>
              </w:rPr>
              <w:lastRenderedPageBreak/>
              <w:t xml:space="preserve">no podrá ser superior a cuatro años? (Art. 78 Ley N°9986 y </w:t>
            </w:r>
            <w:r w:rsidRPr="00A333F5">
              <w:rPr>
                <w:rFonts w:eastAsia="Calibri" w:cstheme="minorHAnsi"/>
                <w:b w:val="0"/>
                <w:bCs w:val="0"/>
                <w:color w:val="000000"/>
                <w:sz w:val="24"/>
                <w:szCs w:val="24"/>
                <w:lang w:val="es-CR"/>
              </w:rPr>
              <w:t>Art. 212, 213, 214 y 215 Reglamento Ley N°9986</w:t>
            </w:r>
            <w:r w:rsidRPr="00A333F5">
              <w:rPr>
                <w:rFonts w:cstheme="minorHAnsi"/>
                <w:b w:val="0"/>
                <w:bCs w:val="0"/>
                <w:color w:val="000000"/>
                <w:sz w:val="24"/>
                <w:szCs w:val="24"/>
                <w:lang w:val="es-ES"/>
              </w:rPr>
              <w:t>).</w:t>
            </w:r>
          </w:p>
        </w:tc>
        <w:tc>
          <w:tcPr>
            <w:tcW w:w="313" w:type="pct"/>
          </w:tcPr>
          <w:p w14:paraId="7E8F40B3"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58B20D29"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41AFBABB"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0D9B73CD"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5000AD5A"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2A073A62"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ES"/>
              </w:rPr>
              <w:t>¿Indica el plazo de adjudicación? (Art. 90 Reglamento Ley N°9986)</w:t>
            </w:r>
          </w:p>
        </w:tc>
        <w:tc>
          <w:tcPr>
            <w:tcW w:w="313" w:type="pct"/>
          </w:tcPr>
          <w:p w14:paraId="725799F0"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25B99250"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5B2EBFEF"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2B86087F"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1DED26A9"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45073EE5" w14:textId="77777777" w:rsidR="00A502A0" w:rsidRPr="00A333F5" w:rsidRDefault="00000000">
            <w:pPr>
              <w:widowControl w:val="0"/>
              <w:spacing w:before="240"/>
              <w:contextualSpacing w:val="0"/>
              <w:jc w:val="both"/>
              <w:rPr>
                <w:rFonts w:cstheme="minorHAnsi"/>
                <w:b w:val="0"/>
                <w:bCs w:val="0"/>
                <w:color w:val="000000"/>
                <w:sz w:val="24"/>
                <w:szCs w:val="24"/>
              </w:rPr>
            </w:pPr>
            <w:r w:rsidRPr="00A333F5">
              <w:rPr>
                <w:rFonts w:cstheme="minorHAnsi"/>
                <w:b w:val="0"/>
                <w:bCs w:val="0"/>
                <w:color w:val="000000"/>
                <w:sz w:val="24"/>
                <w:szCs w:val="24"/>
                <w:lang w:val="es-CR"/>
              </w:rPr>
              <w:t xml:space="preserve">¿Descripción de la naturaleza y cantidad de los bienes o servicios objeto del procedimiento, incluidas especificaciones técnicas que podrán acompañarse de planos, diseños e instrucciones correspon dientes. Las especificaciones técnicas se establecerán prioritariamente en términos de desempeño y funcionalidad. El sistema internacional de unidades, basado en el sistema métrico decimal es de uso obligatorio. En lo que atañe a las regulaciones de calidad se deberán respetar las regulaciones de la Ley del Sistema Nacional de la Calidad? </w:t>
            </w:r>
            <w:r w:rsidRPr="00A333F5">
              <w:rPr>
                <w:rFonts w:cstheme="minorHAnsi"/>
                <w:b w:val="0"/>
                <w:bCs w:val="0"/>
                <w:color w:val="000000"/>
                <w:sz w:val="24"/>
                <w:szCs w:val="24"/>
                <w:lang w:val="es-ES"/>
              </w:rPr>
              <w:t>(Art. 90 Reglamento Ley N°9986).</w:t>
            </w:r>
          </w:p>
        </w:tc>
        <w:tc>
          <w:tcPr>
            <w:tcW w:w="313" w:type="pct"/>
          </w:tcPr>
          <w:p w14:paraId="4204B1EE"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492AD007"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0A7B6AD9"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3BBEB331"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0FC2AB32"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2DF0DC4A"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CR"/>
              </w:rPr>
              <w:t>¿Está estipulado los factores para evaluar las ofertas siendo posible incorporar factores de evaluación distintos del precio, tales como plazo y calidad, además si corresponde, se otorga un puntaje hasta de un diez por ciento (10%), a aquellas pymes de la región que se pretende desarrollar y que empleen mayoritariamente a personas de esa región? (Art. 23 y 40 Ley N°9986, Art. 73, 74, 90 y 97 Reglamento Ley N°9986</w:t>
            </w:r>
            <w:r w:rsidRPr="00A333F5">
              <w:rPr>
                <w:rFonts w:cstheme="minorHAnsi"/>
                <w:b w:val="0"/>
                <w:bCs w:val="0"/>
                <w:color w:val="000000"/>
                <w:sz w:val="24"/>
                <w:szCs w:val="24"/>
                <w:lang w:val="es-ES"/>
              </w:rPr>
              <w:t>).</w:t>
            </w:r>
            <w:r w:rsidRPr="00A333F5">
              <w:rPr>
                <w:rFonts w:cstheme="minorHAnsi"/>
                <w:b w:val="0"/>
                <w:bCs w:val="0"/>
                <w:color w:val="000000"/>
                <w:sz w:val="24"/>
                <w:szCs w:val="24"/>
                <w:lang w:val="es-CR"/>
              </w:rPr>
              <w:t xml:space="preserve"> En caso de empate, se deberá dar una puntuación adicional a las pymes, conforme se establezca en el reglamento (Art. 97 Reglamento Ley N°9986).</w:t>
            </w:r>
          </w:p>
        </w:tc>
        <w:tc>
          <w:tcPr>
            <w:tcW w:w="313" w:type="pct"/>
          </w:tcPr>
          <w:p w14:paraId="0C3FD3E2"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07B04625"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107FA008"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1778" w:type="pct"/>
          </w:tcPr>
          <w:p w14:paraId="0B2B1B4A"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3C8846F0"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3A2E5151"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CR"/>
              </w:rPr>
              <w:lastRenderedPageBreak/>
              <w:t>¿Está estipulado el plazo de entrega, detallando el lugar y fecha de inicio y conclusión de la entrega de los bienes y servicios, cuando así proceda? (Artículo 90 Reglamento Ley N°9986). Para el caso de obras públicas y bienes y servicios se considera lo indicado en los Artículos 108 y 109 de la Ley  N°9986.</w:t>
            </w:r>
          </w:p>
        </w:tc>
        <w:tc>
          <w:tcPr>
            <w:tcW w:w="313" w:type="pct"/>
          </w:tcPr>
          <w:p w14:paraId="1DF25417"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7490AAA7"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6CEFC0A0"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44BDB2FC"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6714EFFC"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53163369"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¿Se estableció que el proveedor este al día con las obligaciones de la seguridad social, CCSS, FODESAF, Ministerio de Hacienda, impuesto a las sociedades (impuestos nacionales)? (Art 14 Ley N°9986 y Art. 32 Reglamento Ley N°9986).</w:t>
            </w:r>
          </w:p>
        </w:tc>
        <w:tc>
          <w:tcPr>
            <w:tcW w:w="313" w:type="pct"/>
          </w:tcPr>
          <w:p w14:paraId="15BF3543"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341" w:type="pct"/>
          </w:tcPr>
          <w:p w14:paraId="636B1751"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337" w:type="pct"/>
          </w:tcPr>
          <w:p w14:paraId="1E6A5F4F"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1778" w:type="pct"/>
          </w:tcPr>
          <w:p w14:paraId="71D72E37"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r>
      <w:tr w:rsidR="00A333F5" w:rsidRPr="005F0468" w14:paraId="7429A2B8"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29478811"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¿Se estableció que los subcontratistas (si corresponde) se encuentren al día con las obligaciones de la seguridad social, tanto de la Caja Costarricense de Seguro Social y el Fondo de Desarrollo Social y Asignaciones Familiares (Art 14 Ley N°9986).</w:t>
            </w:r>
          </w:p>
          <w:p w14:paraId="383BAEC5" w14:textId="77777777" w:rsidR="00A502A0" w:rsidRPr="00A333F5" w:rsidRDefault="00A502A0">
            <w:pPr>
              <w:widowControl w:val="0"/>
              <w:contextualSpacing w:val="0"/>
              <w:jc w:val="both"/>
              <w:rPr>
                <w:rFonts w:eastAsia="Calibri" w:cstheme="minorHAnsi"/>
                <w:lang w:val="es-CR"/>
              </w:rPr>
            </w:pPr>
          </w:p>
        </w:tc>
        <w:tc>
          <w:tcPr>
            <w:tcW w:w="313" w:type="pct"/>
          </w:tcPr>
          <w:p w14:paraId="64AC970D"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4C2BC59C"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4648BD20"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6F8C4B17"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29A5DABD"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7C54664D"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¿La Junta tiene presente que en caso de que ya incurrido en la omisión de indicar en el pliego de condiciones los dos puntos anteriores o de aquellas obligaciones impuestas por el ordenamiento jurídico a los potenciales oferentes en atención al objeto contractual, no exime a estos de su obligado cumplimiento? (Art 40 Ley N°9986).</w:t>
            </w:r>
          </w:p>
          <w:p w14:paraId="4CE582BF" w14:textId="77777777" w:rsidR="00A502A0" w:rsidRPr="00A333F5" w:rsidRDefault="00A502A0">
            <w:pPr>
              <w:widowControl w:val="0"/>
              <w:contextualSpacing w:val="0"/>
              <w:jc w:val="both"/>
              <w:rPr>
                <w:rFonts w:eastAsia="Calibri" w:cstheme="minorHAnsi"/>
                <w:b w:val="0"/>
                <w:bCs w:val="0"/>
                <w:color w:val="000000"/>
                <w:sz w:val="24"/>
                <w:szCs w:val="24"/>
                <w:lang w:val="es-CR"/>
              </w:rPr>
            </w:pPr>
          </w:p>
        </w:tc>
        <w:tc>
          <w:tcPr>
            <w:tcW w:w="313" w:type="pct"/>
          </w:tcPr>
          <w:p w14:paraId="1BD5AD16"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6F5DD458"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7DA82C60"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37BB5B2F"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388EA612"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5AC55522" w14:textId="77777777" w:rsidR="00A502A0" w:rsidRPr="00A333F5" w:rsidRDefault="00000000">
            <w:pPr>
              <w:widowControl w:val="0"/>
              <w:jc w:val="both"/>
              <w:rPr>
                <w:rFonts w:cstheme="minorHAnsi"/>
                <w:b w:val="0"/>
                <w:bCs w:val="0"/>
                <w:color w:val="000000"/>
                <w:sz w:val="24"/>
                <w:szCs w:val="24"/>
              </w:rPr>
            </w:pPr>
            <w:r w:rsidRPr="00A333F5">
              <w:rPr>
                <w:rFonts w:cstheme="minorHAnsi"/>
                <w:b w:val="0"/>
                <w:bCs w:val="0"/>
                <w:color w:val="000000"/>
                <w:sz w:val="24"/>
                <w:szCs w:val="24"/>
                <w:lang w:val="es-CR"/>
              </w:rPr>
              <w:t xml:space="preserve">¿Cuando la Junta solicite acreditar la experiencia, se aceptará en el tanto haya sido positiva, entendida ésta, como los bienes, obras o servicios recibidos a entera satisfacción, debiendo indicarse en el pliego </w:t>
            </w:r>
            <w:r w:rsidRPr="00A333F5">
              <w:rPr>
                <w:rFonts w:cstheme="minorHAnsi"/>
                <w:b w:val="0"/>
                <w:bCs w:val="0"/>
                <w:color w:val="000000"/>
                <w:sz w:val="24"/>
                <w:szCs w:val="24"/>
                <w:lang w:val="es-CR"/>
              </w:rPr>
              <w:lastRenderedPageBreak/>
              <w:t>de condiciones la forma idónea de acreditarla. Igual regla se seguirá cuando se trate de experiencia obtenida en el extranjero? (Art. 94 Reglamento Ley N°9986).</w:t>
            </w:r>
          </w:p>
        </w:tc>
        <w:tc>
          <w:tcPr>
            <w:tcW w:w="313" w:type="pct"/>
          </w:tcPr>
          <w:p w14:paraId="5F5FD656"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7AAE8B0A"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1518EAC2"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77F2CC25"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26C93A01"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5385D97A"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¿Se estableció que el precio deberá ser cierto y definitivo, sin perjuicio de eventuales reajustes o revisiones regulados en el artículo 43 de la presente Ley? (Art 41 Ley N°9986 y Art. 98 Reglamento Ley N°9986).</w:t>
            </w:r>
          </w:p>
        </w:tc>
        <w:tc>
          <w:tcPr>
            <w:tcW w:w="313" w:type="pct"/>
          </w:tcPr>
          <w:p w14:paraId="50F50E76"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6438A958"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6CC5850F"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708E8675"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09ECB9A1"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10C309D0"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 xml:space="preserve">¿Se estableció que será posible mejorar los precios </w:t>
            </w:r>
            <w:r w:rsidRPr="00A333F5">
              <w:rPr>
                <w:rFonts w:cstheme="minorHAnsi"/>
                <w:b w:val="0"/>
                <w:bCs w:val="0"/>
                <w:color w:val="000000"/>
                <w:sz w:val="24"/>
                <w:szCs w:val="24"/>
                <w:lang w:val="es-CR"/>
              </w:rPr>
              <w:t>cotizados de conformidad con lo que disponga el reglamento de esta</w:t>
            </w:r>
            <w:r w:rsidRPr="00A333F5">
              <w:rPr>
                <w:rFonts w:eastAsia="Calibri" w:cstheme="minorHAnsi"/>
                <w:b w:val="0"/>
                <w:bCs w:val="0"/>
                <w:color w:val="000000"/>
                <w:sz w:val="24"/>
                <w:szCs w:val="24"/>
                <w:lang w:val="es-CR"/>
              </w:rPr>
              <w:t xml:space="preserve"> Ley? (Art 41 Ley N°9986 y Art. 90, 99 y 100 Reglamento Ley N°9986).</w:t>
            </w:r>
          </w:p>
        </w:tc>
        <w:tc>
          <w:tcPr>
            <w:tcW w:w="313" w:type="pct"/>
          </w:tcPr>
          <w:p w14:paraId="255C350D"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5D6BE7F2"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0FAE1FE9"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260ADDD3"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5DA418D1"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5999FE06"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¿Se estableció que si el oferente no señala los tributos que afectan su propuesta, se presume que el monto total cotizado los contiene, incluyendo tasas, sobretasas, aranceles de importación y demás impuestos del mercado local? (Art 41 Ley N°9986).</w:t>
            </w:r>
          </w:p>
          <w:p w14:paraId="03B3104A" w14:textId="77777777" w:rsidR="00A502A0" w:rsidRPr="00A333F5" w:rsidRDefault="00A502A0">
            <w:pPr>
              <w:widowControl w:val="0"/>
              <w:contextualSpacing w:val="0"/>
              <w:jc w:val="both"/>
              <w:rPr>
                <w:rFonts w:eastAsia="Calibri" w:cstheme="minorHAnsi"/>
                <w:b w:val="0"/>
                <w:bCs w:val="0"/>
                <w:color w:val="000000"/>
                <w:sz w:val="24"/>
                <w:szCs w:val="24"/>
                <w:lang w:val="es-CR"/>
              </w:rPr>
            </w:pPr>
          </w:p>
        </w:tc>
        <w:tc>
          <w:tcPr>
            <w:tcW w:w="313" w:type="pct"/>
          </w:tcPr>
          <w:p w14:paraId="07848DC6"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033FA2D3"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3B562D7A"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741B7D55"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353C67C9"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7B58FC57" w14:textId="77777777" w:rsidR="00A502A0" w:rsidRPr="00A333F5" w:rsidRDefault="00000000">
            <w:pPr>
              <w:widowControl w:val="0"/>
              <w:suppressAutoHyphens w:val="0"/>
              <w:contextualSpacing w:val="0"/>
              <w:jc w:val="both"/>
              <w:rPr>
                <w:rFonts w:cstheme="minorHAnsi"/>
                <w:b w:val="0"/>
                <w:bCs w:val="0"/>
                <w:color w:val="000000"/>
                <w:sz w:val="24"/>
                <w:szCs w:val="24"/>
              </w:rPr>
            </w:pPr>
            <w:r w:rsidRPr="00A333F5">
              <w:rPr>
                <w:rFonts w:eastAsia="Calibri" w:cstheme="minorHAnsi"/>
                <w:b w:val="0"/>
                <w:bCs w:val="0"/>
                <w:color w:val="000000"/>
                <w:sz w:val="24"/>
                <w:szCs w:val="24"/>
                <w:lang w:val="es-CR"/>
              </w:rPr>
              <w:t>¿Se estableció que los oferentes podrán cotizar en cualquier moneda. En caso de recibir propuestas en distintas monedas, se procederá a convertir a una misma para efectos de comparación, aplicando las reglas previstas en el pliego de condiciones o, en su defecto, al tipo de cambio de referencia para la venta calculado por el Banco Central de Costa Rica, vigente al momento de la apertura de las ofertas? (Art 41 Ley N°9986 y Art. 18 del Reglamento).</w:t>
            </w:r>
          </w:p>
          <w:p w14:paraId="1FD57D75" w14:textId="77777777" w:rsidR="00A502A0" w:rsidRPr="00A333F5" w:rsidRDefault="00A502A0">
            <w:pPr>
              <w:widowControl w:val="0"/>
              <w:suppressAutoHyphens w:val="0"/>
              <w:contextualSpacing w:val="0"/>
              <w:jc w:val="both"/>
              <w:rPr>
                <w:rFonts w:eastAsia="Calibri" w:cstheme="minorHAnsi"/>
                <w:b w:val="0"/>
                <w:bCs w:val="0"/>
                <w:color w:val="000000"/>
                <w:sz w:val="24"/>
                <w:szCs w:val="24"/>
                <w:lang w:val="es-CR"/>
              </w:rPr>
            </w:pPr>
          </w:p>
        </w:tc>
        <w:tc>
          <w:tcPr>
            <w:tcW w:w="313" w:type="pct"/>
          </w:tcPr>
          <w:p w14:paraId="5C3AC20D"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553350AD"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2CAAE287"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32C11B2D"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6A80459E"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69666D13" w14:textId="77777777" w:rsidR="00A502A0" w:rsidRPr="00A333F5" w:rsidRDefault="00000000">
            <w:pPr>
              <w:widowControl w:val="0"/>
              <w:suppressAutoHyphens w:val="0"/>
              <w:contextualSpacing w:val="0"/>
              <w:jc w:val="both"/>
              <w:rPr>
                <w:rFonts w:cstheme="minorHAnsi"/>
                <w:b w:val="0"/>
                <w:bCs w:val="0"/>
                <w:color w:val="000000"/>
                <w:sz w:val="24"/>
                <w:szCs w:val="24"/>
              </w:rPr>
            </w:pPr>
            <w:r w:rsidRPr="00A333F5">
              <w:rPr>
                <w:rFonts w:eastAsia="Calibri" w:cstheme="minorHAnsi"/>
                <w:b w:val="0"/>
                <w:bCs w:val="0"/>
                <w:color w:val="000000"/>
                <w:sz w:val="24"/>
                <w:szCs w:val="24"/>
                <w:lang w:val="es-CR"/>
              </w:rPr>
              <w:lastRenderedPageBreak/>
              <w:t>¿Se estableció que el oferente podrá ofrecer descuentos y mejoras en su</w:t>
            </w:r>
            <w:r w:rsidRPr="00A333F5">
              <w:rPr>
                <w:rFonts w:cstheme="minorHAnsi"/>
                <w:b w:val="0"/>
                <w:bCs w:val="0"/>
                <w:color w:val="000000"/>
                <w:sz w:val="24"/>
                <w:szCs w:val="24"/>
                <w:lang w:val="es-CR"/>
              </w:rPr>
              <w:t xml:space="preserve"> precio. Bajo ningún supuesto la mejora implicará disminución de cantidades, desmejora de la calidad y condiciones de lo originalmente ofrecido o el otorgamiento de un</w:t>
            </w:r>
            <w:r w:rsidRPr="00A333F5">
              <w:rPr>
                <w:rFonts w:eastAsia="Calibri" w:cstheme="minorHAnsi"/>
                <w:b w:val="0"/>
                <w:bCs w:val="0"/>
                <w:color w:val="000000"/>
                <w:sz w:val="24"/>
                <w:szCs w:val="24"/>
                <w:lang w:val="es-CR"/>
              </w:rPr>
              <w:t>a ventaja indebida para el proponente, ni podrá ser mayor a la utilidad establecida en el precio original. El pliego de condiciones podrá establecer un porcentaje de utilidad mínimo o máximo, previo acto motivado? (Art 41 Ley N°9986 y Art 105</w:t>
            </w:r>
            <w:r w:rsidRPr="00A333F5">
              <w:rPr>
                <w:rFonts w:eastAsia="Calibri" w:cstheme="minorHAnsi"/>
                <w:b w:val="0"/>
                <w:bCs w:val="0"/>
                <w:color w:val="1E1E1F"/>
                <w:sz w:val="24"/>
                <w:szCs w:val="24"/>
                <w:lang w:val="es-CR"/>
              </w:rPr>
              <w:t xml:space="preserve"> Reglamento Ley N°9986</w:t>
            </w:r>
            <w:r w:rsidRPr="00A333F5">
              <w:rPr>
                <w:rFonts w:eastAsia="Calibri" w:cstheme="minorHAnsi"/>
                <w:b w:val="0"/>
                <w:bCs w:val="0"/>
                <w:color w:val="000000"/>
                <w:sz w:val="24"/>
                <w:szCs w:val="24"/>
                <w:lang w:val="es-CR"/>
              </w:rPr>
              <w:t>).</w:t>
            </w:r>
          </w:p>
          <w:p w14:paraId="197350B0" w14:textId="77777777" w:rsidR="00A502A0" w:rsidRPr="00A333F5" w:rsidRDefault="00A502A0">
            <w:pPr>
              <w:widowControl w:val="0"/>
              <w:suppressAutoHyphens w:val="0"/>
              <w:contextualSpacing w:val="0"/>
              <w:jc w:val="both"/>
              <w:rPr>
                <w:rFonts w:eastAsia="Calibri" w:cstheme="minorHAnsi"/>
                <w:b w:val="0"/>
                <w:bCs w:val="0"/>
                <w:color w:val="000000"/>
                <w:sz w:val="24"/>
                <w:szCs w:val="24"/>
                <w:lang w:val="es-CR"/>
              </w:rPr>
            </w:pPr>
          </w:p>
        </w:tc>
        <w:tc>
          <w:tcPr>
            <w:tcW w:w="313" w:type="pct"/>
          </w:tcPr>
          <w:p w14:paraId="77EB4128"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172F97D7"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17E0D3C5"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2728FD0B"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4D82777C"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55FBA832" w14:textId="77777777" w:rsidR="00A502A0" w:rsidRPr="00A333F5" w:rsidRDefault="00000000">
            <w:pPr>
              <w:widowControl w:val="0"/>
              <w:suppressAutoHyphens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¿Se estableció que el oferente deberá presentar la estructura del precio tanto en términos absolutos como porcentuales; lo anterior será obligatorio para los contratos de servicios y de obra pública, así como para cualquier otro objeto contractual según se establezca en el pliego de condiciones? La Administración establecerá el formato para la presentación de la estructura del precio. Cuando haya discrepancias entre los valores absolutos y los porcentuales de la estructura de precio presentada por el oferente, prevalecerán los valores absolutos sobre los porcentuales.</w:t>
            </w:r>
          </w:p>
          <w:p w14:paraId="32707249" w14:textId="77777777" w:rsidR="00A502A0" w:rsidRPr="00A333F5" w:rsidRDefault="00A502A0">
            <w:pPr>
              <w:widowControl w:val="0"/>
              <w:suppressAutoHyphens w:val="0"/>
              <w:contextualSpacing w:val="0"/>
              <w:jc w:val="both"/>
              <w:rPr>
                <w:rFonts w:eastAsia="Calibri" w:cstheme="minorHAnsi"/>
                <w:b w:val="0"/>
                <w:bCs w:val="0"/>
                <w:color w:val="000000"/>
                <w:sz w:val="24"/>
                <w:szCs w:val="24"/>
                <w:lang w:val="es-CR"/>
              </w:rPr>
            </w:pPr>
          </w:p>
          <w:p w14:paraId="1EDD387B" w14:textId="77777777" w:rsidR="00A502A0" w:rsidRPr="00A333F5" w:rsidRDefault="00000000">
            <w:pPr>
              <w:widowControl w:val="0"/>
              <w:suppressAutoHyphens w:val="0"/>
              <w:contextualSpacing w:val="0"/>
              <w:jc w:val="both"/>
              <w:rPr>
                <w:rFonts w:cstheme="minorHAnsi"/>
                <w:b w:val="0"/>
                <w:bCs w:val="0"/>
                <w:color w:val="000000"/>
                <w:sz w:val="24"/>
                <w:szCs w:val="24"/>
              </w:rPr>
            </w:pPr>
            <w:r w:rsidRPr="00A333F5">
              <w:rPr>
                <w:rFonts w:eastAsia="Calibri" w:cstheme="minorHAnsi"/>
                <w:b w:val="0"/>
                <w:bCs w:val="0"/>
                <w:color w:val="000000"/>
                <w:sz w:val="24"/>
                <w:szCs w:val="24"/>
                <w:lang w:val="es-CR"/>
              </w:rPr>
              <w:t>El presupuesto detallado deberá ser presentado únicamente por el adjudicatario dentro del plazo de ocho días hábiles posteriores a la firmeza de la adjudicación y antes de la suscripción del contrato. (Art 42 Ley N°9986 y Art 102 y 103</w:t>
            </w:r>
            <w:r w:rsidRPr="00A333F5">
              <w:rPr>
                <w:rFonts w:eastAsia="Calibri" w:cstheme="minorHAnsi"/>
                <w:b w:val="0"/>
                <w:bCs w:val="0"/>
                <w:color w:val="1E1E1F"/>
                <w:sz w:val="24"/>
                <w:szCs w:val="24"/>
                <w:lang w:val="es-CR"/>
              </w:rPr>
              <w:t xml:space="preserve"> Reglamento Ley N°9986</w:t>
            </w:r>
            <w:r w:rsidRPr="00A333F5">
              <w:rPr>
                <w:rFonts w:eastAsia="Calibri" w:cstheme="minorHAnsi"/>
                <w:b w:val="0"/>
                <w:bCs w:val="0"/>
                <w:color w:val="000000"/>
                <w:sz w:val="24"/>
                <w:szCs w:val="24"/>
                <w:lang w:val="es-CR"/>
              </w:rPr>
              <w:t>).</w:t>
            </w:r>
          </w:p>
          <w:p w14:paraId="27CC97FC" w14:textId="77777777" w:rsidR="00A502A0" w:rsidRPr="00A333F5" w:rsidRDefault="00A502A0">
            <w:pPr>
              <w:widowControl w:val="0"/>
              <w:suppressAutoHyphens w:val="0"/>
              <w:contextualSpacing w:val="0"/>
              <w:jc w:val="both"/>
              <w:rPr>
                <w:rFonts w:eastAsia="Calibri" w:cstheme="minorHAnsi"/>
                <w:b w:val="0"/>
                <w:bCs w:val="0"/>
                <w:color w:val="000000"/>
                <w:sz w:val="24"/>
                <w:szCs w:val="24"/>
                <w:lang w:val="es-CR"/>
              </w:rPr>
            </w:pPr>
          </w:p>
        </w:tc>
        <w:tc>
          <w:tcPr>
            <w:tcW w:w="313" w:type="pct"/>
          </w:tcPr>
          <w:p w14:paraId="6EEF5518"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6EA05C8C"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190B572E"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631C3DF9"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5DE8B87F"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212EBDD2" w14:textId="77777777" w:rsidR="00A502A0" w:rsidRPr="00A333F5" w:rsidRDefault="00000000">
            <w:pPr>
              <w:widowControl w:val="0"/>
              <w:suppressAutoHyphens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lastRenderedPageBreak/>
              <w:t>¿La Junta estableció en el pliego de condiciones la forma en que se reajustarán o revisarán los precios? (Art. 43 Ley N°9986 y Art 102 y 103</w:t>
            </w:r>
            <w:r w:rsidRPr="00A333F5">
              <w:rPr>
                <w:rFonts w:eastAsia="Calibri" w:cstheme="minorHAnsi"/>
                <w:b w:val="0"/>
                <w:bCs w:val="0"/>
                <w:color w:val="1E1E1F"/>
                <w:sz w:val="24"/>
                <w:szCs w:val="24"/>
                <w:lang w:val="es-CR"/>
              </w:rPr>
              <w:t xml:space="preserve"> Reglamento Ley N°9986</w:t>
            </w:r>
            <w:r w:rsidRPr="00A333F5">
              <w:rPr>
                <w:rFonts w:eastAsia="Calibri" w:cstheme="minorHAnsi"/>
                <w:b w:val="0"/>
                <w:bCs w:val="0"/>
                <w:color w:val="000000"/>
                <w:sz w:val="24"/>
                <w:szCs w:val="24"/>
                <w:lang w:val="es-CR"/>
              </w:rPr>
              <w:t>)</w:t>
            </w:r>
          </w:p>
          <w:p w14:paraId="1934D8BD" w14:textId="77777777" w:rsidR="00A502A0" w:rsidRPr="00A333F5" w:rsidRDefault="00A502A0">
            <w:pPr>
              <w:widowControl w:val="0"/>
              <w:suppressAutoHyphens w:val="0"/>
              <w:contextualSpacing w:val="0"/>
              <w:jc w:val="both"/>
              <w:rPr>
                <w:rFonts w:eastAsia="Calibri" w:cstheme="minorHAnsi"/>
                <w:lang w:val="es-CR"/>
              </w:rPr>
            </w:pPr>
          </w:p>
        </w:tc>
        <w:tc>
          <w:tcPr>
            <w:tcW w:w="313" w:type="pct"/>
          </w:tcPr>
          <w:p w14:paraId="1B6B8E06"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08343AF9"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56C71E2C"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2FDD7546"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4650CEAC" w14:textId="77777777" w:rsidTr="006F43E4">
        <w:trPr>
          <w:cnfStyle w:val="000000100000" w:firstRow="0" w:lastRow="0" w:firstColumn="0" w:lastColumn="0" w:oddVBand="0" w:evenVBand="0" w:oddHBand="1" w:evenHBand="0" w:firstRowFirstColumn="0" w:firstRowLastColumn="0" w:lastRowFirstColumn="0" w:lastRowLastColumn="0"/>
          <w:trHeight w:val="1497"/>
        </w:trPr>
        <w:tc>
          <w:tcPr>
            <w:cnfStyle w:val="001000000000" w:firstRow="0" w:lastRow="0" w:firstColumn="1" w:lastColumn="0" w:oddVBand="0" w:evenVBand="0" w:oddHBand="0" w:evenHBand="0" w:firstRowFirstColumn="0" w:firstRowLastColumn="0" w:lastRowFirstColumn="0" w:lastRowLastColumn="0"/>
            <w:tcW w:w="2231" w:type="pct"/>
          </w:tcPr>
          <w:p w14:paraId="43FAD793" w14:textId="77777777" w:rsidR="00A502A0" w:rsidRPr="00A333F5" w:rsidRDefault="00000000">
            <w:pPr>
              <w:widowControl w:val="0"/>
              <w:suppressAutoHyphens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¿Si la Junta va a establecer sanciones económicas (multas) por ejecución defectuosa o clausulas penales por la ejecución prematura o tardía de las obligaciones contractuales, atendió lo establecido en los Artículos 46 y 47 de la Ley N°9986?</w:t>
            </w:r>
          </w:p>
          <w:p w14:paraId="092CEA69" w14:textId="77777777" w:rsidR="00A502A0" w:rsidRPr="00A333F5" w:rsidRDefault="00A502A0">
            <w:pPr>
              <w:widowControl w:val="0"/>
              <w:suppressAutoHyphens w:val="0"/>
              <w:contextualSpacing w:val="0"/>
              <w:jc w:val="both"/>
              <w:rPr>
                <w:rFonts w:eastAsia="Calibri" w:cstheme="minorHAnsi"/>
                <w:b w:val="0"/>
                <w:bCs w:val="0"/>
                <w:color w:val="000000"/>
                <w:sz w:val="24"/>
                <w:szCs w:val="24"/>
                <w:lang w:val="es-CR"/>
              </w:rPr>
            </w:pPr>
          </w:p>
        </w:tc>
        <w:tc>
          <w:tcPr>
            <w:tcW w:w="313" w:type="pct"/>
          </w:tcPr>
          <w:p w14:paraId="1B2986FA"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232BED94"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6746088D"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04C2F57F"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2605E3E8"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2515658B" w14:textId="77777777" w:rsidR="00A502A0" w:rsidRPr="00A333F5" w:rsidRDefault="00000000">
            <w:pPr>
              <w:widowControl w:val="0"/>
              <w:suppressAutoHyphens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¿La Junta estableció que el plazo para recibir ofertas, no deberá ser menor de quince días hábiles para el caso de la Licitación Mayor; de entre cinco y quince días hábiles según la complejidad del objeto para el caso de la Licitación Menor; y de entre tres y cinco días hábiles para el caso de la Licitación Reducida, contabilizados a partir del día siguiente a la comunicación de la invitación a participar y hasta el día fijado para la apertura de ofertas, inclusive? (Art. 56 Ley N°9986)</w:t>
            </w:r>
          </w:p>
          <w:p w14:paraId="40E53CCB" w14:textId="77777777" w:rsidR="00A502A0" w:rsidRPr="00A333F5" w:rsidRDefault="00A502A0">
            <w:pPr>
              <w:widowControl w:val="0"/>
              <w:suppressAutoHyphens w:val="0"/>
              <w:contextualSpacing w:val="0"/>
              <w:jc w:val="both"/>
              <w:rPr>
                <w:rFonts w:eastAsia="Calibri" w:cstheme="minorHAnsi"/>
                <w:b w:val="0"/>
                <w:bCs w:val="0"/>
                <w:color w:val="000000"/>
                <w:sz w:val="24"/>
                <w:szCs w:val="24"/>
                <w:lang w:val="es-CR"/>
              </w:rPr>
            </w:pPr>
          </w:p>
        </w:tc>
        <w:tc>
          <w:tcPr>
            <w:tcW w:w="313" w:type="pct"/>
          </w:tcPr>
          <w:p w14:paraId="355A1389"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5BAC35CD"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7898DACD"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1B0EE8CE"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0F7BC711"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4B04F02E"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ES"/>
              </w:rPr>
              <w:t xml:space="preserve">¿En el caso de la concesión de instalaciones públicas, la Junta estableció claramente, que la </w:t>
            </w:r>
            <w:r w:rsidRPr="00A333F5">
              <w:rPr>
                <w:rFonts w:cstheme="minorHAnsi"/>
                <w:b w:val="0"/>
                <w:bCs w:val="0"/>
                <w:color w:val="1C1C1C"/>
                <w:sz w:val="24"/>
                <w:szCs w:val="24"/>
                <w:lang w:val="es-ES"/>
              </w:rPr>
              <w:t xml:space="preserve">concesión no generará relación de inquilinato, derecho de llave ni otro beneficio diferente del empleo del bien por el plazo establecido y </w:t>
            </w:r>
            <w:r w:rsidRPr="00A333F5">
              <w:rPr>
                <w:rFonts w:eastAsia="Calibri" w:cstheme="minorHAnsi"/>
                <w:b w:val="0"/>
                <w:bCs w:val="0"/>
                <w:color w:val="1C1C1C"/>
                <w:sz w:val="24"/>
                <w:szCs w:val="24"/>
                <w:lang w:val="es-ES"/>
              </w:rPr>
              <w:t>para el exclusivo cumplimiento del interés público.</w:t>
            </w:r>
          </w:p>
          <w:p w14:paraId="177EF7B2" w14:textId="77777777" w:rsidR="00A502A0" w:rsidRPr="00A333F5" w:rsidRDefault="00000000">
            <w:pPr>
              <w:widowControl w:val="0"/>
              <w:jc w:val="both"/>
              <w:rPr>
                <w:rFonts w:cstheme="minorHAnsi"/>
                <w:b w:val="0"/>
                <w:bCs w:val="0"/>
                <w:color w:val="000000"/>
                <w:sz w:val="24"/>
                <w:szCs w:val="24"/>
              </w:rPr>
            </w:pPr>
            <w:r w:rsidRPr="00A333F5">
              <w:rPr>
                <w:rFonts w:eastAsia="Calibri" w:cstheme="minorHAnsi"/>
                <w:b w:val="0"/>
                <w:bCs w:val="0"/>
                <w:color w:val="1C1D1D"/>
                <w:sz w:val="24"/>
                <w:szCs w:val="24"/>
                <w:lang w:val="es-ES"/>
              </w:rPr>
              <w:t>Que en ning</w:t>
            </w:r>
            <w:r w:rsidRPr="00A333F5">
              <w:rPr>
                <w:rFonts w:cstheme="minorHAnsi"/>
                <w:b w:val="0"/>
                <w:bCs w:val="0"/>
                <w:color w:val="1C1D1D"/>
                <w:sz w:val="24"/>
                <w:szCs w:val="24"/>
                <w:lang w:val="es-ES"/>
              </w:rPr>
              <w:t>ún caso, el precio podrá ser inferior al monto que la Administración haya fijado como canon en los estudios técnicos respectivos y que m</w:t>
            </w:r>
            <w:r w:rsidRPr="00A333F5">
              <w:rPr>
                <w:rFonts w:cstheme="minorHAnsi"/>
                <w:b w:val="0"/>
                <w:bCs w:val="0"/>
                <w:color w:val="1E1E1F"/>
                <w:sz w:val="24"/>
                <w:szCs w:val="24"/>
                <w:lang w:val="es-ES"/>
              </w:rPr>
              <w:t xml:space="preserve">ediante resolución motivada y habiendo otorgado un aviso previo de al menos un mes de anticipación, la Administración podrá poner </w:t>
            </w:r>
            <w:r w:rsidRPr="00A333F5">
              <w:rPr>
                <w:rFonts w:cstheme="minorHAnsi"/>
                <w:b w:val="0"/>
                <w:bCs w:val="0"/>
                <w:color w:val="1E1E1F"/>
                <w:sz w:val="24"/>
                <w:szCs w:val="24"/>
                <w:lang w:val="es-ES"/>
              </w:rPr>
              <w:lastRenderedPageBreak/>
              <w:t>término a la concesión, cuando sea necesario para la mejor satisfacción del interés público</w:t>
            </w:r>
            <w:r w:rsidRPr="00A333F5">
              <w:rPr>
                <w:rFonts w:eastAsia="Calibri" w:cstheme="minorHAnsi"/>
                <w:b w:val="0"/>
                <w:bCs w:val="0"/>
                <w:color w:val="1E1E1F"/>
                <w:sz w:val="24"/>
                <w:szCs w:val="24"/>
                <w:lang w:val="es-CR"/>
              </w:rPr>
              <w:t>? (Art. 83 Ley N°9986 y Art. 227 Reglamento Ley N°9986).</w:t>
            </w:r>
          </w:p>
          <w:p w14:paraId="7CF1191D" w14:textId="77777777" w:rsidR="00A502A0" w:rsidRPr="00A333F5" w:rsidRDefault="00A502A0">
            <w:pPr>
              <w:widowControl w:val="0"/>
              <w:jc w:val="both"/>
              <w:rPr>
                <w:rFonts w:eastAsia="Calibri" w:cstheme="minorHAnsi"/>
                <w:b w:val="0"/>
                <w:bCs w:val="0"/>
                <w:color w:val="000000"/>
                <w:sz w:val="24"/>
                <w:szCs w:val="24"/>
                <w:lang w:val="es-CR"/>
              </w:rPr>
            </w:pPr>
          </w:p>
        </w:tc>
        <w:tc>
          <w:tcPr>
            <w:tcW w:w="313" w:type="pct"/>
          </w:tcPr>
          <w:p w14:paraId="485D693E"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429B452B"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59B94DB3"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34E6A604"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712AA476"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1A9081F6"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eastAsia="Calibri" w:cstheme="minorHAnsi"/>
                <w:b w:val="0"/>
                <w:bCs w:val="0"/>
                <w:color w:val="1C1D1D"/>
                <w:sz w:val="24"/>
                <w:szCs w:val="24"/>
                <w:lang w:val="es-ES"/>
              </w:rPr>
              <w:t xml:space="preserve">¿La Junta estableció que se debe firmar un contrato </w:t>
            </w:r>
            <w:r w:rsidRPr="00A333F5">
              <w:rPr>
                <w:rFonts w:eastAsia="Calibri" w:cstheme="minorHAnsi"/>
                <w:b w:val="0"/>
                <w:bCs w:val="0"/>
                <w:color w:val="0A0A0A"/>
                <w:sz w:val="24"/>
                <w:szCs w:val="24"/>
                <w:lang w:val="es-ES"/>
              </w:rPr>
              <w:t>entre quien promueva el procedimiento y el contratista, una vez firme el acto de adjudicación y rendida la garantía de cumplimiento cuando haya sido exigida</w:t>
            </w:r>
            <w:r w:rsidRPr="00A333F5">
              <w:rPr>
                <w:rFonts w:eastAsia="Calibri" w:cstheme="minorHAnsi"/>
                <w:b w:val="0"/>
                <w:bCs w:val="0"/>
                <w:color w:val="1E1E1F"/>
                <w:sz w:val="24"/>
                <w:szCs w:val="24"/>
                <w:lang w:val="es-CR"/>
              </w:rPr>
              <w:t>? (Art. 101 Ley N°9986)</w:t>
            </w:r>
            <w:r w:rsidRPr="00A333F5">
              <w:rPr>
                <w:rFonts w:eastAsia="Calibri" w:cstheme="minorHAnsi"/>
                <w:b w:val="0"/>
                <w:bCs w:val="0"/>
                <w:color w:val="1E1E1F"/>
                <w:sz w:val="24"/>
                <w:szCs w:val="24"/>
                <w:lang w:val="es-ES"/>
              </w:rPr>
              <w:t>.</w:t>
            </w:r>
          </w:p>
        </w:tc>
        <w:tc>
          <w:tcPr>
            <w:tcW w:w="313" w:type="pct"/>
          </w:tcPr>
          <w:p w14:paraId="34D68958"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255FB9AE"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64631157"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479D1B3C"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6C5AB0EC"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0BF430A4"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 xml:space="preserve">¿Está claramente establecido en el pliego de condiciones la forma o medio de pago que utilizará para cancelar sus obligaciones, a fin de que éstos sean conocidos por los potenciales oferentes según lo establecido en el </w:t>
            </w:r>
            <w:r w:rsidRPr="00A333F5">
              <w:rPr>
                <w:rFonts w:eastAsia="Calibri" w:cstheme="minorHAnsi"/>
                <w:b w:val="0"/>
                <w:bCs w:val="0"/>
                <w:color w:val="1E1E1F"/>
                <w:sz w:val="24"/>
                <w:szCs w:val="24"/>
                <w:lang w:val="es-CR"/>
              </w:rPr>
              <w:t>Artículo 18 Reglamento Ley N°9986 y Artículo 90 Reglamento Ley N°9986?</w:t>
            </w:r>
          </w:p>
        </w:tc>
        <w:tc>
          <w:tcPr>
            <w:tcW w:w="313" w:type="pct"/>
          </w:tcPr>
          <w:p w14:paraId="31FABB1A"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7AE89EC5"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491FF2F6"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69B8A9E5"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12A58E2B"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6E423BCD" w14:textId="77777777" w:rsidR="00A502A0" w:rsidRPr="00A333F5" w:rsidRDefault="00000000">
            <w:pPr>
              <w:widowControl w:val="0"/>
              <w:spacing w:before="240"/>
              <w:contextualSpacing w:val="0"/>
              <w:jc w:val="both"/>
              <w:rPr>
                <w:rFonts w:cstheme="minorHAnsi"/>
                <w:b w:val="0"/>
                <w:bCs w:val="0"/>
                <w:color w:val="000000"/>
                <w:sz w:val="24"/>
                <w:szCs w:val="24"/>
              </w:rPr>
            </w:pPr>
            <w:r w:rsidRPr="00A333F5">
              <w:rPr>
                <w:rFonts w:eastAsia="Calibri" w:cstheme="minorHAnsi"/>
                <w:b w:val="0"/>
                <w:bCs w:val="0"/>
                <w:color w:val="000000"/>
                <w:sz w:val="24"/>
                <w:szCs w:val="24"/>
                <w:lang w:val="es-CR"/>
              </w:rPr>
              <w:t xml:space="preserve">¿Está claramente definido el plazo máximo de pago? </w:t>
            </w:r>
            <w:r w:rsidRPr="00A333F5">
              <w:rPr>
                <w:rFonts w:eastAsia="Calibri" w:cstheme="minorHAnsi"/>
                <w:b w:val="0"/>
                <w:bCs w:val="0"/>
                <w:color w:val="1E1E1F"/>
                <w:sz w:val="24"/>
                <w:szCs w:val="24"/>
                <w:lang w:val="es-CR"/>
              </w:rPr>
              <w:t>(Art. 19 Reglamento Ley N°9986). El cual en ningún caso podrá ser superior a treinta días naturales, salvo las excepciones establecidas por el bloque de legalidad. El plazo correrá a partir de la presentación de la factura, previa recepción del bien o servicio a satisfacción por parte de la Junta. El reconocimiento de intereses se hará, previo reclamo del interesado mediante resolución administrativa, que será emitida dentro de un plazo de dos meses posteriores a la solicitud. El reclamo de intereses prescribirá en un año.</w:t>
            </w:r>
          </w:p>
        </w:tc>
        <w:tc>
          <w:tcPr>
            <w:tcW w:w="313" w:type="pct"/>
          </w:tcPr>
          <w:p w14:paraId="7DFD213A"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72F0B4B7"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1751BA0F"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355B8261"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7280A09B"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744BD3AC"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1E1E1F"/>
                <w:sz w:val="24"/>
                <w:szCs w:val="24"/>
                <w:lang w:val="es-CR"/>
              </w:rPr>
              <w:t xml:space="preserve">¿Se definieron las causas para que se considere un incumplimiento y la multa por incumplimiento a la obligación contractual u otras obligaciones? (Art. 90 Reglamento </w:t>
            </w:r>
            <w:r w:rsidRPr="00A333F5">
              <w:rPr>
                <w:rFonts w:eastAsia="Calibri" w:cstheme="minorHAnsi"/>
                <w:b w:val="0"/>
                <w:bCs w:val="0"/>
                <w:color w:val="1E1E1F"/>
                <w:sz w:val="24"/>
                <w:szCs w:val="24"/>
                <w:lang w:val="es-CR"/>
              </w:rPr>
              <w:lastRenderedPageBreak/>
              <w:t>Ley N°9986).</w:t>
            </w:r>
          </w:p>
        </w:tc>
        <w:tc>
          <w:tcPr>
            <w:tcW w:w="313" w:type="pct"/>
          </w:tcPr>
          <w:p w14:paraId="1C045556"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6D4A94CA"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613AED56"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2CAFE212"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1F5A2332"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4B9E52DE"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1E1E1F"/>
                <w:sz w:val="24"/>
                <w:szCs w:val="24"/>
                <w:lang w:val="es-CR"/>
              </w:rPr>
              <w:t>¿Existe definición de la cláusula penal por incumplimiento de plazos (prematuro o tardío)? (depende del objeto contractual si resulta procedente o no) (Art. 90 Reglamento Ley N°9986).</w:t>
            </w:r>
          </w:p>
        </w:tc>
        <w:tc>
          <w:tcPr>
            <w:tcW w:w="313" w:type="pct"/>
          </w:tcPr>
          <w:p w14:paraId="13DDF288"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44AE03C1"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62D2CD5E"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4C1D6936"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106EE3EF"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60050230"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1E1E1F"/>
                <w:sz w:val="24"/>
                <w:szCs w:val="24"/>
                <w:lang w:val="es-CR"/>
              </w:rPr>
              <w:t>¿Se indica el monto del presupuesto disponible para la contratación en números y letras?</w:t>
            </w:r>
          </w:p>
        </w:tc>
        <w:tc>
          <w:tcPr>
            <w:tcW w:w="313" w:type="pct"/>
          </w:tcPr>
          <w:p w14:paraId="3B31E127"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0397565C"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5FD8BBF2"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18AF196B"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3C14F03E"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092AF4EF" w14:textId="77777777" w:rsidR="00A502A0" w:rsidRPr="00A333F5" w:rsidRDefault="00000000">
            <w:pPr>
              <w:widowControl w:val="0"/>
              <w:suppressAutoHyphens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 xml:space="preserve">¿Indica el plazo de vigencia de la oferta? (Art. 56 Ley N°9986 y </w:t>
            </w:r>
            <w:r w:rsidRPr="00A333F5">
              <w:rPr>
                <w:rFonts w:cstheme="minorHAnsi"/>
                <w:b w:val="0"/>
                <w:bCs w:val="0"/>
                <w:color w:val="000000"/>
                <w:sz w:val="24"/>
                <w:szCs w:val="24"/>
                <w:lang w:val="es-CR"/>
              </w:rPr>
              <w:t>Art. 90 Reglamento Ley N°9986</w:t>
            </w:r>
            <w:r w:rsidRPr="00A333F5">
              <w:rPr>
                <w:rFonts w:eastAsia="Calibri" w:cstheme="minorHAnsi"/>
                <w:b w:val="0"/>
                <w:bCs w:val="0"/>
                <w:color w:val="000000"/>
                <w:sz w:val="24"/>
                <w:szCs w:val="24"/>
                <w:lang w:val="es-CR"/>
              </w:rPr>
              <w:t>).</w:t>
            </w:r>
          </w:p>
        </w:tc>
        <w:tc>
          <w:tcPr>
            <w:tcW w:w="313" w:type="pct"/>
          </w:tcPr>
          <w:p w14:paraId="500335A3"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262D8CA0"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3C78AADF"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7C3FF131"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4BA91233"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0A5155B7"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ES"/>
              </w:rPr>
              <w:t xml:space="preserve">¿La Junta en caso de haber recibido recursos </w:t>
            </w:r>
            <w:r w:rsidRPr="00A333F5">
              <w:rPr>
                <w:rFonts w:eastAsia="Calibri" w:cstheme="minorHAnsi"/>
                <w:b w:val="0"/>
                <w:bCs w:val="0"/>
                <w:color w:val="060708"/>
                <w:sz w:val="24"/>
                <w:szCs w:val="24"/>
                <w:lang w:val="es-ES"/>
              </w:rPr>
              <w:t>de objeción al pliego de condiciones,</w:t>
            </w:r>
            <w:r w:rsidRPr="00A333F5">
              <w:rPr>
                <w:rFonts w:eastAsia="Calibri" w:cstheme="minorHAnsi"/>
                <w:b w:val="0"/>
                <w:bCs w:val="0"/>
                <w:color w:val="000000"/>
                <w:sz w:val="24"/>
                <w:szCs w:val="24"/>
                <w:lang w:val="es-ES"/>
              </w:rPr>
              <w:t xml:space="preserve"> los atendió considerando lo establecido en la Ley N°9986 y su Reglamento?</w:t>
            </w:r>
          </w:p>
          <w:p w14:paraId="6D520320" w14:textId="77777777" w:rsidR="00A502A0" w:rsidRPr="00A333F5" w:rsidRDefault="00A502A0">
            <w:pPr>
              <w:widowControl w:val="0"/>
              <w:contextualSpacing w:val="0"/>
              <w:jc w:val="both"/>
              <w:rPr>
                <w:rFonts w:eastAsia="Calibri" w:cstheme="minorHAnsi"/>
                <w:b w:val="0"/>
                <w:bCs w:val="0"/>
                <w:color w:val="000000"/>
                <w:sz w:val="24"/>
                <w:szCs w:val="24"/>
                <w:lang w:val="es-ES"/>
              </w:rPr>
            </w:pPr>
          </w:p>
        </w:tc>
        <w:tc>
          <w:tcPr>
            <w:tcW w:w="313" w:type="pct"/>
          </w:tcPr>
          <w:p w14:paraId="7E4EE4EC"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33B12D24"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2F1D9E36"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1E4B592F"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503D225B"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302C1C39" w14:textId="77777777" w:rsidR="00A502A0" w:rsidRPr="00A333F5" w:rsidRDefault="00000000">
            <w:pPr>
              <w:widowControl w:val="0"/>
              <w:suppressAutoHyphens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ES"/>
              </w:rPr>
              <w:t>¿La Junta cuando así lo considere pertinente, solicitó las muestras que estime convenientes a fin de verificar la calidad de los bienes ofrecidos y, finalmente, entregados? Lo anterior siguiendo lo indicado en el Artículo 40 Ley N°9986 y los Artículos</w:t>
            </w:r>
            <w:r w:rsidRPr="00A333F5">
              <w:rPr>
                <w:rFonts w:cstheme="minorHAnsi"/>
                <w:b w:val="0"/>
                <w:bCs w:val="0"/>
                <w:color w:val="000000"/>
                <w:sz w:val="24"/>
                <w:szCs w:val="24"/>
                <w:lang w:val="es-ES"/>
              </w:rPr>
              <w:t xml:space="preserve"> 90 y 95 Reglamento Ley N°9986</w:t>
            </w:r>
            <w:r w:rsidRPr="00A333F5">
              <w:rPr>
                <w:rFonts w:eastAsia="Calibri" w:cstheme="minorHAnsi"/>
                <w:b w:val="0"/>
                <w:bCs w:val="0"/>
                <w:color w:val="000000"/>
                <w:sz w:val="24"/>
                <w:szCs w:val="24"/>
                <w:lang w:val="es-ES"/>
              </w:rPr>
              <w:t>.</w:t>
            </w:r>
          </w:p>
          <w:p w14:paraId="27438D8D" w14:textId="77777777" w:rsidR="00A502A0" w:rsidRPr="00A333F5" w:rsidRDefault="00A502A0">
            <w:pPr>
              <w:widowControl w:val="0"/>
              <w:suppressAutoHyphens w:val="0"/>
              <w:contextualSpacing w:val="0"/>
              <w:jc w:val="both"/>
              <w:rPr>
                <w:rFonts w:eastAsia="Calibri" w:cstheme="minorHAnsi"/>
                <w:b w:val="0"/>
                <w:bCs w:val="0"/>
                <w:color w:val="000000"/>
                <w:sz w:val="24"/>
                <w:szCs w:val="24"/>
                <w:lang w:val="es-ES"/>
              </w:rPr>
            </w:pPr>
          </w:p>
        </w:tc>
        <w:tc>
          <w:tcPr>
            <w:tcW w:w="313" w:type="pct"/>
          </w:tcPr>
          <w:p w14:paraId="659A21B4"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650BDB2B"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12E3E63A"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4C03FE3C"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307476EF" w14:textId="77777777" w:rsidTr="006F43E4">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545BDFBD" w14:textId="77777777" w:rsidR="00A502A0" w:rsidRPr="00A333F5" w:rsidRDefault="00000000">
            <w:pPr>
              <w:widowControl w:val="0"/>
              <w:jc w:val="both"/>
              <w:rPr>
                <w:rFonts w:cstheme="minorHAnsi"/>
                <w:b w:val="0"/>
                <w:bCs w:val="0"/>
                <w:color w:val="000000"/>
                <w:sz w:val="24"/>
                <w:szCs w:val="24"/>
                <w:lang w:val="es-CR"/>
              </w:rPr>
            </w:pPr>
            <w:r w:rsidRPr="00A333F5">
              <w:rPr>
                <w:rFonts w:cstheme="minorHAnsi"/>
                <w:b w:val="0"/>
                <w:bCs w:val="0"/>
                <w:color w:val="000000"/>
                <w:sz w:val="24"/>
                <w:szCs w:val="24"/>
                <w:lang w:val="es-ES"/>
              </w:rPr>
              <w:t>¿Indicación precisa, de los documentos que se deberán aportar para la evaluación de la idoneidad del oferente en aspectos económicos, legales, técnicos u otros? (Art. 90 Reglamento Ley N°9986).</w:t>
            </w:r>
          </w:p>
          <w:p w14:paraId="63A337F7" w14:textId="77777777" w:rsidR="00A502A0" w:rsidRPr="00A333F5" w:rsidRDefault="00A502A0">
            <w:pPr>
              <w:widowControl w:val="0"/>
              <w:suppressAutoHyphens w:val="0"/>
              <w:contextualSpacing w:val="0"/>
              <w:jc w:val="both"/>
              <w:rPr>
                <w:rFonts w:cstheme="minorHAnsi"/>
                <w:b w:val="0"/>
                <w:bCs w:val="0"/>
                <w:color w:val="000000"/>
                <w:sz w:val="24"/>
                <w:szCs w:val="24"/>
                <w:lang w:val="es-ES"/>
              </w:rPr>
            </w:pPr>
          </w:p>
        </w:tc>
        <w:tc>
          <w:tcPr>
            <w:tcW w:w="313" w:type="pct"/>
          </w:tcPr>
          <w:p w14:paraId="07A6E490"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289B1605"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60A89003"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3DA9A6E5"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61C18095" w14:textId="77777777" w:rsidTr="006F43E4">
        <w:trPr>
          <w:trHeight w:val="1035"/>
        </w:trPr>
        <w:tc>
          <w:tcPr>
            <w:cnfStyle w:val="001000000000" w:firstRow="0" w:lastRow="0" w:firstColumn="1" w:lastColumn="0" w:oddVBand="0" w:evenVBand="0" w:oddHBand="0" w:evenHBand="0" w:firstRowFirstColumn="0" w:firstRowLastColumn="0" w:lastRowFirstColumn="0" w:lastRowLastColumn="0"/>
            <w:tcW w:w="2231" w:type="pct"/>
          </w:tcPr>
          <w:p w14:paraId="7F037D32" w14:textId="77777777" w:rsidR="00A502A0" w:rsidRPr="00A333F5" w:rsidRDefault="00000000">
            <w:pPr>
              <w:widowControl w:val="0"/>
              <w:jc w:val="both"/>
              <w:rPr>
                <w:rFonts w:cstheme="minorHAnsi"/>
                <w:b w:val="0"/>
                <w:bCs w:val="0"/>
                <w:color w:val="000000"/>
                <w:sz w:val="24"/>
                <w:szCs w:val="24"/>
                <w:lang w:val="es-CR"/>
              </w:rPr>
            </w:pPr>
            <w:r w:rsidRPr="00A333F5">
              <w:rPr>
                <w:rFonts w:cstheme="minorHAnsi"/>
                <w:b w:val="0"/>
                <w:bCs w:val="0"/>
                <w:color w:val="000000"/>
                <w:sz w:val="24"/>
                <w:szCs w:val="24"/>
                <w:lang w:val="es-ES"/>
              </w:rPr>
              <w:lastRenderedPageBreak/>
              <w:t>¿Requisitos para el adjudicatario y contratista.? (Art. 90 Reglamento Ley N°9986).</w:t>
            </w:r>
          </w:p>
          <w:p w14:paraId="43E6E737" w14:textId="77777777" w:rsidR="00A502A0" w:rsidRPr="00A333F5" w:rsidRDefault="00A502A0">
            <w:pPr>
              <w:widowControl w:val="0"/>
              <w:suppressAutoHyphens w:val="0"/>
              <w:contextualSpacing w:val="0"/>
              <w:jc w:val="both"/>
              <w:rPr>
                <w:rFonts w:cstheme="minorHAnsi"/>
                <w:b w:val="0"/>
                <w:bCs w:val="0"/>
                <w:color w:val="000000"/>
                <w:sz w:val="24"/>
                <w:szCs w:val="24"/>
                <w:lang w:val="es-ES"/>
              </w:rPr>
            </w:pPr>
          </w:p>
        </w:tc>
        <w:tc>
          <w:tcPr>
            <w:tcW w:w="313" w:type="pct"/>
          </w:tcPr>
          <w:p w14:paraId="0C411328"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3788A7C5"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1098F9ED"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57B8A5E7"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4564944F" w14:textId="77777777" w:rsidTr="006F43E4">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2231" w:type="pct"/>
          </w:tcPr>
          <w:p w14:paraId="576EC306" w14:textId="77777777" w:rsidR="00A502A0" w:rsidRPr="00A333F5" w:rsidRDefault="00A502A0">
            <w:pPr>
              <w:widowControl w:val="0"/>
              <w:contextualSpacing w:val="0"/>
              <w:jc w:val="both"/>
              <w:rPr>
                <w:rFonts w:eastAsia="Calibri" w:cstheme="minorHAnsi"/>
                <w:b w:val="0"/>
                <w:bCs w:val="0"/>
                <w:color w:val="000000"/>
                <w:sz w:val="24"/>
                <w:szCs w:val="24"/>
                <w:lang w:val="es-CR"/>
              </w:rPr>
            </w:pPr>
          </w:p>
        </w:tc>
        <w:tc>
          <w:tcPr>
            <w:tcW w:w="313" w:type="pct"/>
          </w:tcPr>
          <w:p w14:paraId="4F3C906D"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617D77DE"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256C6A6C"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4B3B84DB"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502A0" w:rsidRPr="005F0468" w14:paraId="45E8CA24" w14:textId="77777777" w:rsidTr="006F43E4">
        <w:trPr>
          <w:trHeight w:val="450"/>
        </w:trPr>
        <w:tc>
          <w:tcPr>
            <w:cnfStyle w:val="001000000000" w:firstRow="0" w:lastRow="0" w:firstColumn="1" w:lastColumn="0" w:oddVBand="0" w:evenVBand="0" w:oddHBand="0" w:evenHBand="0" w:firstRowFirstColumn="0" w:firstRowLastColumn="0" w:lastRowFirstColumn="0" w:lastRowLastColumn="0"/>
            <w:tcW w:w="5000" w:type="pct"/>
            <w:gridSpan w:val="5"/>
          </w:tcPr>
          <w:p w14:paraId="3E9A70DE" w14:textId="77777777" w:rsidR="00A502A0" w:rsidRPr="00A333F5" w:rsidRDefault="00000000">
            <w:pPr>
              <w:widowControl w:val="0"/>
              <w:contextualSpacing w:val="0"/>
              <w:jc w:val="both"/>
              <w:rPr>
                <w:rFonts w:eastAsia="Calibri" w:cstheme="minorHAnsi"/>
                <w:color w:val="000000"/>
                <w:sz w:val="32"/>
                <w:szCs w:val="32"/>
                <w:shd w:val="clear" w:color="auto" w:fill="729FCF"/>
                <w:lang w:val="es-CR"/>
              </w:rPr>
            </w:pPr>
            <w:r w:rsidRPr="00A333F5">
              <w:rPr>
                <w:rFonts w:eastAsia="Calibri" w:cstheme="minorHAnsi"/>
                <w:color w:val="000000"/>
                <w:sz w:val="32"/>
                <w:szCs w:val="32"/>
                <w:shd w:val="clear" w:color="auto" w:fill="729FCF"/>
                <w:lang w:val="es-CR"/>
              </w:rPr>
              <w:t>SOBRE EL EXPEDIENTE DE CONTRATACIÓN</w:t>
            </w:r>
          </w:p>
        </w:tc>
      </w:tr>
      <w:tr w:rsidR="00A333F5" w:rsidRPr="005F0468" w14:paraId="3B1708C4" w14:textId="77777777" w:rsidTr="006F43E4">
        <w:trPr>
          <w:cnfStyle w:val="000000100000" w:firstRow="0" w:lastRow="0" w:firstColumn="0" w:lastColumn="0" w:oddVBand="0" w:evenVBand="0" w:oddHBand="1" w:evenHBand="0" w:firstRowFirstColumn="0" w:firstRowLastColumn="0" w:lastRowFirstColumn="0" w:lastRowLastColumn="0"/>
          <w:trHeight w:val="985"/>
        </w:trPr>
        <w:tc>
          <w:tcPr>
            <w:cnfStyle w:val="001000000000" w:firstRow="0" w:lastRow="0" w:firstColumn="1" w:lastColumn="0" w:oddVBand="0" w:evenVBand="0" w:oddHBand="0" w:evenHBand="0" w:firstRowFirstColumn="0" w:firstRowLastColumn="0" w:lastRowFirstColumn="0" w:lastRowLastColumn="0"/>
            <w:tcW w:w="2231" w:type="pct"/>
          </w:tcPr>
          <w:p w14:paraId="0E9FAA96"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¿La Junta tiene conocimiento que para garantizar el cumplimiento del principio de transparencia y publicidad, las entidades contratantes (entendidas como las Juntas de Educación o Juntas Administrativas) que realicen un proceso de contratación, deberán llevar un riguroso resguardo de todas las actuaciones relacionadas y la documentación que respalde las contrataciones que realicen con la utilización parcial o total de fondos públicos fuera del SICOP, (expedientes respectivos), de tal manera que se asegure su disponibilidad e integridad (la negrita no es del documento original).</w:t>
            </w:r>
          </w:p>
          <w:p w14:paraId="1E5FF85D"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Los expedientes respectivos se deberán incluir, posteriormente en el SICOP, de los procesos realizados durante el período autorizado, debiendo al efecto registrarse todos los procesos efectuados con cada una de las correspondientes etapas (la negrita no es del documento original) (Resolución MH-DcoP-RES-0012-2023 y Art. 28 Reglamento Ley N°9986).</w:t>
            </w:r>
          </w:p>
          <w:p w14:paraId="62C7C047" w14:textId="77777777" w:rsidR="00A502A0" w:rsidRPr="00A333F5" w:rsidRDefault="00A502A0">
            <w:pPr>
              <w:widowControl w:val="0"/>
              <w:contextualSpacing w:val="0"/>
              <w:jc w:val="both"/>
              <w:rPr>
                <w:rFonts w:eastAsia="Calibri" w:cstheme="minorHAnsi"/>
                <w:b w:val="0"/>
                <w:bCs w:val="0"/>
                <w:color w:val="000000"/>
                <w:sz w:val="24"/>
                <w:szCs w:val="24"/>
                <w:lang w:val="es-CR"/>
              </w:rPr>
            </w:pPr>
          </w:p>
        </w:tc>
        <w:tc>
          <w:tcPr>
            <w:tcW w:w="313" w:type="pct"/>
          </w:tcPr>
          <w:p w14:paraId="24286259"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3C51C227"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2792397F"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2FB4831F"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556A057E" w14:textId="77777777" w:rsidTr="006F43E4">
        <w:trPr>
          <w:trHeight w:val="750"/>
        </w:trPr>
        <w:tc>
          <w:tcPr>
            <w:cnfStyle w:val="001000000000" w:firstRow="0" w:lastRow="0" w:firstColumn="1" w:lastColumn="0" w:oddVBand="0" w:evenVBand="0" w:oddHBand="0" w:evenHBand="0" w:firstRowFirstColumn="0" w:firstRowLastColumn="0" w:lastRowFirstColumn="0" w:lastRowLastColumn="0"/>
            <w:tcW w:w="2231" w:type="pct"/>
          </w:tcPr>
          <w:p w14:paraId="7DB80C22"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¿El expediente se encuentra foliado y los documentos fueron incluidos de acuerdo al orden en que se presentan por los oferentes o interesados? (Art. 28 Reglamento Ley N°9986).</w:t>
            </w:r>
          </w:p>
        </w:tc>
        <w:tc>
          <w:tcPr>
            <w:tcW w:w="313" w:type="pct"/>
          </w:tcPr>
          <w:p w14:paraId="18B678C1"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2B433618"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4C7EF01D"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3CCE679F"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1D8327E7" w14:textId="77777777" w:rsidTr="006F43E4">
        <w:trPr>
          <w:cnfStyle w:val="000000100000" w:firstRow="0" w:lastRow="0" w:firstColumn="0" w:lastColumn="0" w:oddVBand="0" w:evenVBand="0" w:oddHBand="1" w:evenHBand="0" w:firstRowFirstColumn="0" w:firstRowLastColumn="0" w:lastRowFirstColumn="0" w:lastRowLastColumn="0"/>
          <w:trHeight w:val="985"/>
        </w:trPr>
        <w:tc>
          <w:tcPr>
            <w:cnfStyle w:val="001000000000" w:firstRow="0" w:lastRow="0" w:firstColumn="1" w:lastColumn="0" w:oddVBand="0" w:evenVBand="0" w:oddHBand="0" w:evenHBand="0" w:firstRowFirstColumn="0" w:firstRowLastColumn="0" w:lastRowFirstColumn="0" w:lastRowLastColumn="0"/>
            <w:tcW w:w="2231" w:type="pct"/>
          </w:tcPr>
          <w:p w14:paraId="5F619E98" w14:textId="77777777" w:rsidR="00A502A0" w:rsidRPr="00A333F5" w:rsidRDefault="00000000">
            <w:pPr>
              <w:widowControl w:val="0"/>
              <w:spacing w:before="240"/>
              <w:contextualSpacing w:val="0"/>
              <w:jc w:val="both"/>
              <w:rPr>
                <w:rFonts w:cstheme="minorHAnsi"/>
                <w:color w:val="000000"/>
                <w:sz w:val="24"/>
                <w:szCs w:val="24"/>
                <w:lang w:val="es-CR"/>
              </w:rPr>
            </w:pPr>
            <w:r w:rsidRPr="00A333F5">
              <w:rPr>
                <w:rFonts w:eastAsia="Calibri" w:cstheme="minorHAnsi"/>
                <w:color w:val="000000"/>
                <w:sz w:val="24"/>
                <w:szCs w:val="24"/>
                <w:lang w:val="es-CR"/>
              </w:rPr>
              <w:lastRenderedPageBreak/>
              <w:t>Dependiendo de las circunstancias de la contratación realizada, el expediente de contratación debe contar con todos los documentos que sean necesarios elaborarse o adjuntarse en el mismo, según cada caso. A continuación de indican algunos de ellos, los cuales en su mayoría son indispensables que estén en el expedientes, otros dependerá de cada caso:</w:t>
            </w:r>
          </w:p>
        </w:tc>
        <w:tc>
          <w:tcPr>
            <w:tcW w:w="313" w:type="pct"/>
          </w:tcPr>
          <w:p w14:paraId="3F0E15AB"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1A6222E8"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41E1D355"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0F752E70"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42578A2B" w14:textId="77777777" w:rsidTr="006F43E4">
        <w:trPr>
          <w:trHeight w:val="567"/>
        </w:trPr>
        <w:tc>
          <w:tcPr>
            <w:cnfStyle w:val="001000000000" w:firstRow="0" w:lastRow="0" w:firstColumn="1" w:lastColumn="0" w:oddVBand="0" w:evenVBand="0" w:oddHBand="0" w:evenHBand="0" w:firstRowFirstColumn="0" w:firstRowLastColumn="0" w:lastRowFirstColumn="0" w:lastRowLastColumn="0"/>
            <w:tcW w:w="2231" w:type="pct"/>
          </w:tcPr>
          <w:p w14:paraId="4B9E78A6"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Caratula o hoja de presentación</w:t>
            </w:r>
          </w:p>
          <w:p w14:paraId="198746D5" w14:textId="77777777" w:rsidR="00A502A0" w:rsidRPr="00A333F5" w:rsidRDefault="00000000">
            <w:pPr>
              <w:pStyle w:val="Prrafodelista"/>
              <w:widowControl w:val="0"/>
              <w:spacing w:before="240"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Debe incluir datos generales de la contratación, nombre de la Junta, número consecutivo de contratación y año, nombre del bien o servicio a contratar, número de acuerdo y fecha en donde la Junta aprobó la contratación, monto presupuestario disponible para la contratación, meta del PAT que se va atender con la contratación.</w:t>
            </w:r>
          </w:p>
        </w:tc>
        <w:tc>
          <w:tcPr>
            <w:tcW w:w="313" w:type="pct"/>
          </w:tcPr>
          <w:p w14:paraId="75B51AA3"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3FCBE76F"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0C7A6FDC"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5021F8ED"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61A2EBCF" w14:textId="77777777" w:rsidTr="006F43E4">
        <w:trPr>
          <w:cnfStyle w:val="000000100000" w:firstRow="0" w:lastRow="0" w:firstColumn="0" w:lastColumn="0" w:oddVBand="0" w:evenVBand="0" w:oddHBand="1" w:evenHBand="0" w:firstRowFirstColumn="0" w:firstRowLastColumn="0" w:lastRowFirstColumn="0" w:lastRowLastColumn="0"/>
          <w:trHeight w:val="410"/>
        </w:trPr>
        <w:tc>
          <w:tcPr>
            <w:cnfStyle w:val="001000000000" w:firstRow="0" w:lastRow="0" w:firstColumn="1" w:lastColumn="0" w:oddVBand="0" w:evenVBand="0" w:oddHBand="0" w:evenHBand="0" w:firstRowFirstColumn="0" w:firstRowLastColumn="0" w:lastRowFirstColumn="0" w:lastRowLastColumn="0"/>
            <w:tcW w:w="2231" w:type="pct"/>
          </w:tcPr>
          <w:p w14:paraId="335C66F1"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Sondeo o estudio de mercado</w:t>
            </w:r>
          </w:p>
          <w:p w14:paraId="7AE604C9" w14:textId="77777777" w:rsidR="00A502A0" w:rsidRPr="00A333F5" w:rsidRDefault="00000000">
            <w:pPr>
              <w:widowControl w:val="0"/>
              <w:suppressAutoHyphens w:val="0"/>
              <w:ind w:left="743"/>
              <w:contextualSpacing w:val="0"/>
              <w:jc w:val="both"/>
              <w:rPr>
                <w:rFonts w:cstheme="minorHAnsi"/>
                <w:b w:val="0"/>
                <w:bCs w:val="0"/>
                <w:color w:val="000000"/>
                <w:sz w:val="24"/>
                <w:szCs w:val="24"/>
              </w:rPr>
            </w:pPr>
            <w:r w:rsidRPr="00A333F5">
              <w:rPr>
                <w:rFonts w:eastAsia="Calibri" w:cstheme="minorHAnsi"/>
                <w:b w:val="0"/>
                <w:bCs w:val="0"/>
                <w:color w:val="000000"/>
                <w:sz w:val="24"/>
                <w:szCs w:val="24"/>
                <w:lang w:val="es-CR"/>
              </w:rPr>
              <w:t xml:space="preserve">¿La Junta previo a la estimación de la contratación, la Administración debe considerar lo indicado en el artículo 17 de la presente ley como un insumo más, debiendo realizar un sondeo o un estudio de mercado según lo que disponga el reglamento de esta Ley, sustentado en información de fuentes confiables con el propósito de obtener los precios de referencia a los que podrá adquirir los bienes, las obras y los servicios, determinar los precios ruinosos o excesivos, establecer la existencia </w:t>
            </w:r>
            <w:r w:rsidRPr="00A333F5">
              <w:rPr>
                <w:rFonts w:eastAsia="Calibri" w:cstheme="minorHAnsi"/>
                <w:b w:val="0"/>
                <w:bCs w:val="0"/>
                <w:color w:val="000000"/>
                <w:sz w:val="24"/>
                <w:szCs w:val="24"/>
                <w:lang w:val="es-CR"/>
              </w:rPr>
              <w:lastRenderedPageBreak/>
              <w:t>de bienes, obras o servicios, en la cantidad, calidad y oportunidad requeridas, así como verificar la existencia de proveedores, permitir la toma de decisiones informadas respecto del procedimiento de contratación y proporcionar información para la determinación de disponibilidad presupuestaria? (Art. 34 Ley N°9986 y Art. 44, 85 y 106 Reglamento Ley N°9986).</w:t>
            </w:r>
          </w:p>
        </w:tc>
        <w:tc>
          <w:tcPr>
            <w:tcW w:w="313" w:type="pct"/>
          </w:tcPr>
          <w:p w14:paraId="6552A008"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2DD24D6A"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77F0B4AB"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68500A2A" w14:textId="77777777" w:rsidR="00A502A0" w:rsidRPr="00A333F5" w:rsidRDefault="0000000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dejar constancia en las actas de que si realizó lo indicado en este punto y cual fue el resultado, a quién se consultó y adjuntando copia en el expediente de los documentos recibidos de las personas o empresas consultadas.</w:t>
            </w:r>
          </w:p>
        </w:tc>
      </w:tr>
      <w:tr w:rsidR="00A333F5" w:rsidRPr="005F0468" w14:paraId="1BF99C35" w14:textId="77777777" w:rsidTr="006F43E4">
        <w:trPr>
          <w:trHeight w:val="410"/>
        </w:trPr>
        <w:tc>
          <w:tcPr>
            <w:cnfStyle w:val="001000000000" w:firstRow="0" w:lastRow="0" w:firstColumn="1" w:lastColumn="0" w:oddVBand="0" w:evenVBand="0" w:oddHBand="0" w:evenHBand="0" w:firstRowFirstColumn="0" w:firstRowLastColumn="0" w:lastRowFirstColumn="0" w:lastRowLastColumn="0"/>
            <w:tcW w:w="2231" w:type="pct"/>
          </w:tcPr>
          <w:p w14:paraId="423D5C62"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Estimación del monto de la contratación</w:t>
            </w:r>
          </w:p>
          <w:p w14:paraId="470E02ED" w14:textId="77777777" w:rsidR="00A502A0" w:rsidRPr="00A333F5" w:rsidRDefault="00000000">
            <w:pPr>
              <w:widowControl w:val="0"/>
              <w:suppressAutoHyphens w:val="0"/>
              <w:ind w:left="743"/>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¿La Junta para determinar la estimación de la contratación tomó en consideración (entre otras), al momento de la decisión inicial, el monto de todas las formas de remuneración incluyendo el costo principal, seguros, fletes, comisiones, intereses, tributos, primas, derechos y cualquier suma que deba reembolsarse.</w:t>
            </w:r>
          </w:p>
          <w:p w14:paraId="7F932A71" w14:textId="77777777" w:rsidR="00A502A0" w:rsidRPr="00A333F5" w:rsidRDefault="00000000">
            <w:pPr>
              <w:widowControl w:val="0"/>
              <w:suppressAutoHyphens w:val="0"/>
              <w:ind w:left="743"/>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Cuando se trate de contrataciones con un plazo susceptible de ser prorrogado, la estimación se realizará sobre la base del pago mensual calculado, multiplicado hasta cuarenta y ocho.</w:t>
            </w:r>
          </w:p>
          <w:p w14:paraId="4BD023EA" w14:textId="77777777" w:rsidR="00A502A0" w:rsidRPr="00A333F5" w:rsidRDefault="00000000">
            <w:pPr>
              <w:widowControl w:val="0"/>
              <w:suppressAutoHyphens w:val="0"/>
              <w:ind w:left="743"/>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Así como a las demás aspectos indicados en el Artículo 35 de la Ley N°9986?</w:t>
            </w:r>
          </w:p>
        </w:tc>
        <w:tc>
          <w:tcPr>
            <w:tcW w:w="313" w:type="pct"/>
          </w:tcPr>
          <w:p w14:paraId="0AFEB362"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6834753D"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3F829FAB"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11343C4A" w14:textId="77777777" w:rsidR="00A502A0" w:rsidRPr="00A333F5" w:rsidRDefault="0000000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dejar constancia en las actas de que si realizó lo indicado en este punto.</w:t>
            </w:r>
          </w:p>
        </w:tc>
      </w:tr>
      <w:tr w:rsidR="00A333F5" w:rsidRPr="005F0468" w14:paraId="0A2DD8C2" w14:textId="77777777" w:rsidTr="006F43E4">
        <w:trPr>
          <w:cnfStyle w:val="000000100000" w:firstRow="0" w:lastRow="0" w:firstColumn="0" w:lastColumn="0" w:oddVBand="0" w:evenVBand="0" w:oddHBand="1" w:evenHBand="0" w:firstRowFirstColumn="0" w:firstRowLastColumn="0" w:lastRowFirstColumn="0" w:lastRowLastColumn="0"/>
          <w:trHeight w:val="410"/>
        </w:trPr>
        <w:tc>
          <w:tcPr>
            <w:cnfStyle w:val="001000000000" w:firstRow="0" w:lastRow="0" w:firstColumn="1" w:lastColumn="0" w:oddVBand="0" w:evenVBand="0" w:oddHBand="0" w:evenHBand="0" w:firstRowFirstColumn="0" w:firstRowLastColumn="0" w:lastRowFirstColumn="0" w:lastRowLastColumn="0"/>
            <w:tcW w:w="2231" w:type="pct"/>
          </w:tcPr>
          <w:p w14:paraId="51EA4F01"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rPr>
            </w:pPr>
            <w:r w:rsidRPr="00A333F5">
              <w:rPr>
                <w:rFonts w:eastAsia="Calibri" w:cstheme="minorHAnsi"/>
                <w:b w:val="0"/>
                <w:bCs w:val="0"/>
                <w:color w:val="000000"/>
                <w:sz w:val="24"/>
                <w:szCs w:val="24"/>
                <w:lang w:val="es-CR"/>
              </w:rPr>
              <w:t>Decisión Inicial</w:t>
            </w:r>
          </w:p>
          <w:p w14:paraId="24E5CA95" w14:textId="77777777" w:rsidR="00A502A0" w:rsidRPr="00A333F5" w:rsidRDefault="00000000">
            <w:pPr>
              <w:widowControl w:val="0"/>
              <w:suppressAutoHyphens w:val="0"/>
              <w:ind w:left="743"/>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Acuerdo en firme de la Junta que contenga la información señalada en el Artículo 37 de la Ley  N°9986 y Artícul</w:t>
            </w:r>
            <w:r w:rsidRPr="00A333F5">
              <w:rPr>
                <w:rFonts w:cstheme="minorHAnsi"/>
                <w:b w:val="0"/>
                <w:bCs w:val="0"/>
                <w:color w:val="000000"/>
                <w:sz w:val="24"/>
                <w:szCs w:val="24"/>
                <w:lang w:val="es-CR"/>
              </w:rPr>
              <w:t xml:space="preserve">o 86 del Reglamento, entre </w:t>
            </w:r>
            <w:r w:rsidRPr="00A333F5">
              <w:rPr>
                <w:rFonts w:cstheme="minorHAnsi"/>
                <w:b w:val="0"/>
                <w:bCs w:val="0"/>
                <w:color w:val="000000"/>
                <w:sz w:val="24"/>
                <w:szCs w:val="24"/>
                <w:lang w:val="es-CR"/>
              </w:rPr>
              <w:lastRenderedPageBreak/>
              <w:t>otras:</w:t>
            </w:r>
          </w:p>
          <w:p w14:paraId="1E997B37" w14:textId="77777777" w:rsidR="00A502A0" w:rsidRPr="00A333F5" w:rsidRDefault="00000000">
            <w:pPr>
              <w:pStyle w:val="Prrafodelista"/>
              <w:widowControl w:val="0"/>
              <w:numPr>
                <w:ilvl w:val="0"/>
                <w:numId w:val="3"/>
              </w:numPr>
              <w:suppressAutoHyphens w:val="0"/>
              <w:ind w:left="1026"/>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Justificación de la procedencia de la contratación.</w:t>
            </w:r>
          </w:p>
          <w:p w14:paraId="0118B298" w14:textId="77777777" w:rsidR="00A502A0" w:rsidRPr="00A333F5" w:rsidRDefault="00000000">
            <w:pPr>
              <w:pStyle w:val="Prrafodelista"/>
              <w:widowControl w:val="0"/>
              <w:numPr>
                <w:ilvl w:val="0"/>
                <w:numId w:val="3"/>
              </w:numPr>
              <w:suppressAutoHyphens w:val="0"/>
              <w:ind w:left="1026"/>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Una descripción y estimación del costo del objeto</w:t>
            </w:r>
          </w:p>
          <w:p w14:paraId="2B881AE1" w14:textId="77777777" w:rsidR="00A502A0" w:rsidRPr="00A333F5" w:rsidRDefault="00000000">
            <w:pPr>
              <w:pStyle w:val="Prrafodelista"/>
              <w:widowControl w:val="0"/>
              <w:numPr>
                <w:ilvl w:val="0"/>
                <w:numId w:val="3"/>
              </w:numPr>
              <w:suppressAutoHyphens w:val="0"/>
              <w:ind w:left="1026"/>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Cronograma con las tareas y las unidades responsables de su ejecución con las fechas de inicio y finalización.</w:t>
            </w:r>
          </w:p>
          <w:p w14:paraId="1F7C0348" w14:textId="77777777" w:rsidR="00A502A0" w:rsidRPr="00A333F5" w:rsidRDefault="00000000">
            <w:pPr>
              <w:pStyle w:val="Prrafodelista"/>
              <w:widowControl w:val="0"/>
              <w:numPr>
                <w:ilvl w:val="0"/>
                <w:numId w:val="3"/>
              </w:numPr>
              <w:suppressAutoHyphens w:val="0"/>
              <w:ind w:left="1026"/>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Un funcionario designado como administrador del contrato.</w:t>
            </w:r>
          </w:p>
          <w:p w14:paraId="7396A274" w14:textId="77777777" w:rsidR="00A502A0" w:rsidRPr="00A333F5" w:rsidRDefault="00000000">
            <w:pPr>
              <w:pStyle w:val="Prrafodelista"/>
              <w:widowControl w:val="0"/>
              <w:numPr>
                <w:ilvl w:val="0"/>
                <w:numId w:val="3"/>
              </w:numPr>
              <w:suppressAutoHyphens w:val="0"/>
              <w:ind w:left="1026"/>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Los parámetros de control de calidad</w:t>
            </w:r>
          </w:p>
          <w:p w14:paraId="74E334A9" w14:textId="77777777" w:rsidR="00A502A0" w:rsidRPr="00A333F5" w:rsidRDefault="00000000">
            <w:pPr>
              <w:pStyle w:val="Prrafodelista"/>
              <w:widowControl w:val="0"/>
              <w:numPr>
                <w:ilvl w:val="0"/>
                <w:numId w:val="3"/>
              </w:numPr>
              <w:suppressAutoHyphens w:val="0"/>
              <w:ind w:left="1026"/>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Los terceros interesados y/o afectados, así como las medidas de abordaje de estos sujetos cuando el proyecto lo amerite y los riesgos identificados, debiendo procurarse que el riesgo en ningún caso superará el beneficio que se obtendrá con la contratación.</w:t>
            </w:r>
          </w:p>
          <w:p w14:paraId="4B682B02" w14:textId="77777777" w:rsidR="00A502A0" w:rsidRPr="00A333F5" w:rsidRDefault="00000000">
            <w:pPr>
              <w:pStyle w:val="Prrafodelista"/>
              <w:widowControl w:val="0"/>
              <w:numPr>
                <w:ilvl w:val="0"/>
                <w:numId w:val="3"/>
              </w:numPr>
              <w:suppressAutoHyphens w:val="0"/>
              <w:ind w:left="1026"/>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 xml:space="preserve"> El cronograma definitivo con los funcionarios responsables.</w:t>
            </w:r>
          </w:p>
          <w:p w14:paraId="7646D00D" w14:textId="77777777" w:rsidR="00A502A0" w:rsidRPr="00A333F5" w:rsidRDefault="00000000">
            <w:pPr>
              <w:pStyle w:val="Prrafodelista"/>
              <w:widowControl w:val="0"/>
              <w:numPr>
                <w:ilvl w:val="0"/>
                <w:numId w:val="3"/>
              </w:numPr>
              <w:suppressAutoHyphens w:val="0"/>
              <w:ind w:left="1026"/>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La estimación actualizada del costo del objeto, de acuerdo con lo establecido en el Reglamento de la Ley N°9986.</w:t>
            </w:r>
          </w:p>
          <w:p w14:paraId="15A88B3F" w14:textId="77777777" w:rsidR="00A502A0" w:rsidRPr="00A333F5" w:rsidRDefault="00000000">
            <w:pPr>
              <w:pStyle w:val="Prrafodelista"/>
              <w:widowControl w:val="0"/>
              <w:numPr>
                <w:ilvl w:val="0"/>
                <w:numId w:val="3"/>
              </w:numPr>
              <w:suppressAutoHyphens w:val="0"/>
              <w:ind w:left="1026"/>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En el caso de obra pública, ver lo que indica esta Ley y su reglamento.</w:t>
            </w:r>
          </w:p>
          <w:p w14:paraId="7DF2A190"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Adicionalmente para el caso de contratos de suministros deben considerar lo establecido en el Artícul</w:t>
            </w:r>
            <w:r w:rsidRPr="00A333F5">
              <w:rPr>
                <w:rFonts w:cstheme="minorHAnsi"/>
                <w:b w:val="0"/>
                <w:bCs w:val="0"/>
                <w:color w:val="000000"/>
                <w:sz w:val="24"/>
                <w:szCs w:val="24"/>
                <w:lang w:val="es-CR"/>
              </w:rPr>
              <w:t>o 74 de la Ley N°9986 y Artículos 191 al 198 del  Reglamento de la Ley N°9986.</w:t>
            </w:r>
          </w:p>
        </w:tc>
        <w:tc>
          <w:tcPr>
            <w:tcW w:w="313" w:type="pct"/>
          </w:tcPr>
          <w:p w14:paraId="602CFB8F"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38BB8CAB"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0E104F4B"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22BEBB8D" w14:textId="77777777" w:rsidR="00A502A0" w:rsidRPr="00A333F5" w:rsidRDefault="0000000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dejar constancia en las actas de que si realizó lo indicado en este punto.</w:t>
            </w:r>
          </w:p>
        </w:tc>
      </w:tr>
      <w:tr w:rsidR="00A333F5" w:rsidRPr="00A333F5" w14:paraId="43128021" w14:textId="77777777" w:rsidTr="006F43E4">
        <w:trPr>
          <w:trHeight w:val="412"/>
        </w:trPr>
        <w:tc>
          <w:tcPr>
            <w:cnfStyle w:val="001000000000" w:firstRow="0" w:lastRow="0" w:firstColumn="1" w:lastColumn="0" w:oddVBand="0" w:evenVBand="0" w:oddHBand="0" w:evenHBand="0" w:firstRowFirstColumn="0" w:firstRowLastColumn="0" w:lastRowFirstColumn="0" w:lastRowLastColumn="0"/>
            <w:tcW w:w="2231" w:type="pct"/>
          </w:tcPr>
          <w:p w14:paraId="1BE1375C"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 xml:space="preserve">Recursos presupuestarios </w:t>
            </w:r>
            <w:r w:rsidRPr="00A333F5">
              <w:rPr>
                <w:rFonts w:eastAsia="Calibri" w:cstheme="minorHAnsi"/>
                <w:b w:val="0"/>
                <w:bCs w:val="0"/>
                <w:color w:val="000000"/>
                <w:sz w:val="24"/>
                <w:szCs w:val="24"/>
                <w:lang w:val="es-CR"/>
              </w:rPr>
              <w:lastRenderedPageBreak/>
              <w:t>suficientes y disponibles para amparar la erogación, según la modalidad de la contratación. La Junta previo a promover el concurso, cuenta con el suficiente contenido presupuestario (aprobado por la DRE mediante el mecanismo establecido) para la adquisición del bien y servicio, según las condiciones señaladas en el Artículo 38 de la Ley N°9986 y Artículo 87 del Reglamento de la Ley N°9986?</w:t>
            </w:r>
          </w:p>
        </w:tc>
        <w:tc>
          <w:tcPr>
            <w:tcW w:w="313" w:type="pct"/>
          </w:tcPr>
          <w:p w14:paraId="2A1596B2"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1942EF14"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37DA7F86"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545B066E" w14:textId="77777777" w:rsidR="00A502A0" w:rsidRPr="00A333F5" w:rsidRDefault="0000000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A333F5">
              <w:rPr>
                <w:rFonts w:eastAsia="Calibri" w:cstheme="minorHAnsi"/>
                <w:color w:val="000000"/>
                <w:sz w:val="24"/>
                <w:szCs w:val="24"/>
                <w:lang w:val="es-CR"/>
              </w:rPr>
              <w:t xml:space="preserve">La Junta debe dejar constancia en </w:t>
            </w:r>
            <w:r w:rsidRPr="00A333F5">
              <w:rPr>
                <w:rFonts w:eastAsia="Calibri" w:cstheme="minorHAnsi"/>
                <w:color w:val="000000"/>
                <w:sz w:val="24"/>
                <w:szCs w:val="24"/>
                <w:lang w:val="es-CR"/>
              </w:rPr>
              <w:lastRenderedPageBreak/>
              <w:t>las actas de que si cuenta con la disponibilidad de presupuesto para la contratación, indicando el monto total disponible para ese fin e indicar mediante cual documento disponen de la correspondiente aprobación presupuestaria por parte de la Dirección de Servicios Administrativos y Financieros de la Dirección Regional de Educación que les corresponda. Adjuntar copia del documento al expediente.</w:t>
            </w:r>
          </w:p>
        </w:tc>
      </w:tr>
      <w:tr w:rsidR="00A333F5" w:rsidRPr="005F0468" w14:paraId="0A40AFB3" w14:textId="77777777" w:rsidTr="006F43E4">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2231" w:type="pct"/>
          </w:tcPr>
          <w:p w14:paraId="37CA477B" w14:textId="77777777" w:rsidR="00A502A0" w:rsidRPr="00A333F5" w:rsidRDefault="00000000">
            <w:pPr>
              <w:widowControl w:val="0"/>
              <w:numPr>
                <w:ilvl w:val="0"/>
                <w:numId w:val="1"/>
              </w:numPr>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lastRenderedPageBreak/>
              <w:t>Acreditación de que cuenta con los recursos humanos idóneos, técnicos y financieros necesarios para verificar el cumplimiento de la contratación.</w:t>
            </w:r>
          </w:p>
        </w:tc>
        <w:tc>
          <w:tcPr>
            <w:tcW w:w="313" w:type="pct"/>
          </w:tcPr>
          <w:p w14:paraId="66251D30"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38DD9CAB"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28D02AFB"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550DB760" w14:textId="77777777" w:rsidR="00A502A0" w:rsidRPr="00A333F5" w:rsidRDefault="0000000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dejar constancia en las actas de que si cuentan con los recursos indicados en este punto</w:t>
            </w:r>
          </w:p>
        </w:tc>
      </w:tr>
      <w:tr w:rsidR="00A333F5" w:rsidRPr="005F0468" w14:paraId="1C68F8FF" w14:textId="77777777" w:rsidTr="006F43E4">
        <w:trPr>
          <w:trHeight w:val="412"/>
        </w:trPr>
        <w:tc>
          <w:tcPr>
            <w:cnfStyle w:val="001000000000" w:firstRow="0" w:lastRow="0" w:firstColumn="1" w:lastColumn="0" w:oddVBand="0" w:evenVBand="0" w:oddHBand="0" w:evenHBand="0" w:firstRowFirstColumn="0" w:firstRowLastColumn="0" w:lastRowFirstColumn="0" w:lastRowLastColumn="0"/>
            <w:tcW w:w="2231" w:type="pct"/>
          </w:tcPr>
          <w:p w14:paraId="6EA126FD" w14:textId="77777777" w:rsidR="00A502A0" w:rsidRPr="00A333F5" w:rsidRDefault="00000000">
            <w:pPr>
              <w:pStyle w:val="Prrafodelista"/>
              <w:widowControl w:val="0"/>
              <w:numPr>
                <w:ilvl w:val="0"/>
                <w:numId w:val="1"/>
              </w:numPr>
              <w:spacing w:before="240" w:after="0"/>
              <w:jc w:val="both"/>
              <w:rPr>
                <w:rFonts w:cstheme="minorHAnsi"/>
                <w:lang w:val="es-CR"/>
              </w:rPr>
            </w:pPr>
            <w:r w:rsidRPr="00A333F5">
              <w:rPr>
                <w:rFonts w:eastAsia="Calibri" w:cstheme="minorHAnsi"/>
                <w:b w:val="0"/>
                <w:bCs w:val="0"/>
                <w:color w:val="000000"/>
                <w:sz w:val="24"/>
                <w:szCs w:val="24"/>
                <w:lang w:val="es-CR"/>
              </w:rPr>
              <w:t>Pliego de condiciones (antiguo Cartel) que establezca los requerimientos básicos y contenga un sistema objetivo de valoración de ofertas, conforme al Artículo 40 de la Ley N°9986 y Artículo 88, 90 y 91 del Reglamento de la Ley N°9986 .</w:t>
            </w:r>
          </w:p>
        </w:tc>
        <w:tc>
          <w:tcPr>
            <w:tcW w:w="313" w:type="pct"/>
          </w:tcPr>
          <w:p w14:paraId="3761A442"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37E744A1"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3E40A75C"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51614A37" w14:textId="77777777" w:rsidR="00A502A0" w:rsidRPr="00A333F5" w:rsidRDefault="0000000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dejar constancia en las actas de que conoció y aprobó el pliego de condiciones</w:t>
            </w:r>
          </w:p>
        </w:tc>
      </w:tr>
      <w:tr w:rsidR="00A333F5" w:rsidRPr="005F0468" w14:paraId="53B4DF7D" w14:textId="77777777" w:rsidTr="006F43E4">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2231" w:type="pct"/>
          </w:tcPr>
          <w:p w14:paraId="02252063" w14:textId="77777777" w:rsidR="00A502A0" w:rsidRPr="00A333F5" w:rsidRDefault="00000000">
            <w:pPr>
              <w:widowControl w:val="0"/>
              <w:numPr>
                <w:ilvl w:val="0"/>
                <w:numId w:val="1"/>
              </w:numPr>
              <w:contextualSpacing w:val="0"/>
              <w:jc w:val="both"/>
              <w:rPr>
                <w:rFonts w:cstheme="minorHAnsi"/>
                <w:lang w:val="es-CR"/>
              </w:rPr>
            </w:pPr>
            <w:r w:rsidRPr="00A333F5">
              <w:rPr>
                <w:rFonts w:eastAsia="Calibri" w:cstheme="minorHAnsi"/>
                <w:b w:val="0"/>
                <w:bCs w:val="0"/>
                <w:color w:val="000000"/>
                <w:sz w:val="24"/>
                <w:szCs w:val="24"/>
                <w:lang w:val="es-CR"/>
              </w:rPr>
              <w:t>La definición de los parámetros para constatar la calidad del bien, obra o servicio que se llegue a contratar.</w:t>
            </w:r>
          </w:p>
        </w:tc>
        <w:tc>
          <w:tcPr>
            <w:tcW w:w="313" w:type="pct"/>
          </w:tcPr>
          <w:p w14:paraId="65582FF5"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0334BA7A"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18E29717"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47CB0CBF" w14:textId="77777777" w:rsidR="00A502A0" w:rsidRPr="00A333F5" w:rsidRDefault="0000000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dejar constancia en las actas de que si definieron los parámetros indicados en este punto.</w:t>
            </w:r>
          </w:p>
        </w:tc>
      </w:tr>
      <w:tr w:rsidR="00A333F5" w:rsidRPr="005F0468" w14:paraId="22F7D026" w14:textId="77777777" w:rsidTr="006F43E4">
        <w:trPr>
          <w:trHeight w:val="412"/>
        </w:trPr>
        <w:tc>
          <w:tcPr>
            <w:cnfStyle w:val="001000000000" w:firstRow="0" w:lastRow="0" w:firstColumn="1" w:lastColumn="0" w:oddVBand="0" w:evenVBand="0" w:oddHBand="0" w:evenHBand="0" w:firstRowFirstColumn="0" w:firstRowLastColumn="0" w:lastRowFirstColumn="0" w:lastRowLastColumn="0"/>
            <w:tcW w:w="2231" w:type="pct"/>
          </w:tcPr>
          <w:p w14:paraId="5CEEB206" w14:textId="77777777" w:rsidR="00A502A0" w:rsidRPr="00A333F5" w:rsidRDefault="00000000">
            <w:pPr>
              <w:widowControl w:val="0"/>
              <w:numPr>
                <w:ilvl w:val="0"/>
                <w:numId w:val="1"/>
              </w:numPr>
              <w:contextualSpacing w:val="0"/>
              <w:jc w:val="both"/>
              <w:rPr>
                <w:rFonts w:cstheme="minorHAnsi"/>
                <w:lang w:val="es-CR"/>
              </w:rPr>
            </w:pPr>
            <w:r w:rsidRPr="00A333F5">
              <w:rPr>
                <w:rFonts w:eastAsia="Calibri" w:cstheme="minorHAnsi"/>
                <w:b w:val="0"/>
                <w:bCs w:val="0"/>
                <w:color w:val="000000"/>
                <w:sz w:val="24"/>
                <w:szCs w:val="24"/>
                <w:lang w:val="es-CR"/>
              </w:rPr>
              <w:t>Los indicadores para verificar los resultados del procedimiento, considerando todas sus etapas.</w:t>
            </w:r>
          </w:p>
        </w:tc>
        <w:tc>
          <w:tcPr>
            <w:tcW w:w="313" w:type="pct"/>
          </w:tcPr>
          <w:p w14:paraId="4C30746F"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79EFA182"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7913FA99"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0E81C1E3" w14:textId="77777777" w:rsidR="00A502A0" w:rsidRPr="00A333F5" w:rsidRDefault="0000000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dejar constancia en las actas de que si definieron los indicadores señalados en este punto.</w:t>
            </w:r>
          </w:p>
        </w:tc>
      </w:tr>
      <w:tr w:rsidR="00A333F5" w:rsidRPr="005F0468" w14:paraId="5B0F99E5" w14:textId="77777777" w:rsidTr="006F43E4">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2231" w:type="pct"/>
          </w:tcPr>
          <w:p w14:paraId="17F8FB81" w14:textId="77777777" w:rsidR="00A502A0" w:rsidRPr="00A333F5" w:rsidRDefault="00000000">
            <w:pPr>
              <w:widowControl w:val="0"/>
              <w:numPr>
                <w:ilvl w:val="0"/>
                <w:numId w:val="1"/>
              </w:numPr>
              <w:contextualSpacing w:val="0"/>
              <w:jc w:val="both"/>
              <w:rPr>
                <w:rFonts w:cstheme="minorHAnsi"/>
                <w:lang w:val="es-CR"/>
              </w:rPr>
            </w:pPr>
            <w:r w:rsidRPr="00A333F5">
              <w:rPr>
                <w:rFonts w:eastAsia="Calibri" w:cstheme="minorHAnsi"/>
                <w:b w:val="0"/>
                <w:bCs w:val="0"/>
                <w:color w:val="000000"/>
                <w:sz w:val="24"/>
                <w:szCs w:val="24"/>
                <w:lang w:val="es-CR"/>
              </w:rPr>
              <w:t xml:space="preserve">Invitación abierta a todos los potenciales oferentes idóneos para </w:t>
            </w:r>
            <w:r w:rsidRPr="00A333F5">
              <w:rPr>
                <w:rFonts w:eastAsia="Calibri" w:cstheme="minorHAnsi"/>
                <w:b w:val="0"/>
                <w:bCs w:val="0"/>
                <w:color w:val="000000"/>
                <w:sz w:val="24"/>
                <w:szCs w:val="24"/>
                <w:lang w:val="es-CR"/>
              </w:rPr>
              <w:lastRenderedPageBreak/>
              <w:t>que participen en el concurso (para el caso de la Licitación Mayor); invitación a todos los proveedores que consten en el sistema digital unificado (para el caso de la Licitación Menor); invitación a un mínimo de tres oferentes idóneos para que participen. Si la Administración lo estima conveniente, podrá invitar a todos los proveedores que consten en el sistema (para el caso de la Licitación</w:t>
            </w:r>
            <w:r w:rsidRPr="00A333F5">
              <w:rPr>
                <w:rFonts w:cstheme="minorHAnsi"/>
                <w:b w:val="0"/>
                <w:bCs w:val="0"/>
                <w:color w:val="000000"/>
                <w:sz w:val="24"/>
                <w:szCs w:val="24"/>
                <w:lang w:val="es-CR"/>
              </w:rPr>
              <w:t xml:space="preserve"> Reducida) (deben adjuntar el pliego de condiciones a la invitación). La publicación deberá contener, la identificación de la Administración contratante; la indicación del tipo y número del concurso y una breve descripción del objeto contractual; la hora y fecha límite para la recepción de ofertas (Art. 92, 144, 152 y 155 Reglamento Ley N°9986)</w:t>
            </w:r>
          </w:p>
        </w:tc>
        <w:tc>
          <w:tcPr>
            <w:tcW w:w="313" w:type="pct"/>
          </w:tcPr>
          <w:p w14:paraId="45D53218"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1EEF9F55"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69C046D5"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106A5A1C" w14:textId="77777777" w:rsidR="00A502A0" w:rsidRPr="00A333F5" w:rsidRDefault="0000000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 xml:space="preserve">La Junta debe dejar constancia </w:t>
            </w:r>
            <w:r w:rsidRPr="00A333F5">
              <w:rPr>
                <w:rFonts w:eastAsia="Calibri" w:cstheme="minorHAnsi"/>
                <w:color w:val="000000"/>
                <w:sz w:val="24"/>
                <w:szCs w:val="24"/>
                <w:lang w:val="es-CR"/>
              </w:rPr>
              <w:lastRenderedPageBreak/>
              <w:t>(copias) en el expediente de las invitaciones enviadas a los oferentes, ya sea por medio de los correos electrónicos enviados u oficios con el recibido correspondiente. Adicionalmente puede demostrar que también realizó invitaciones abiertas publicadas por algún mecanismo.</w:t>
            </w:r>
          </w:p>
        </w:tc>
      </w:tr>
      <w:tr w:rsidR="00A333F5" w:rsidRPr="005F0468" w14:paraId="58790A1D" w14:textId="77777777" w:rsidTr="006F43E4">
        <w:trPr>
          <w:trHeight w:val="412"/>
        </w:trPr>
        <w:tc>
          <w:tcPr>
            <w:cnfStyle w:val="001000000000" w:firstRow="0" w:lastRow="0" w:firstColumn="1" w:lastColumn="0" w:oddVBand="0" w:evenVBand="0" w:oddHBand="0" w:evenHBand="0" w:firstRowFirstColumn="0" w:firstRowLastColumn="0" w:lastRowFirstColumn="0" w:lastRowLastColumn="0"/>
            <w:tcW w:w="2231" w:type="pct"/>
          </w:tcPr>
          <w:p w14:paraId="008FC91A"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lastRenderedPageBreak/>
              <w:t>La posibilidad de recurrir el pliego de condiciones (en caso de presentarse). El recurso de objeción lo conoce la Contraloría General de la República en Licitación Mayor y la Administración en la Licitación Menor y Licitación Reducida.</w:t>
            </w:r>
          </w:p>
        </w:tc>
        <w:tc>
          <w:tcPr>
            <w:tcW w:w="313" w:type="pct"/>
          </w:tcPr>
          <w:p w14:paraId="272294EE"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74B847EC"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5CAC2FCB"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54B25523" w14:textId="77777777" w:rsidR="00A502A0" w:rsidRPr="00A333F5" w:rsidRDefault="0000000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dejar constancia en las actas, así como de la evidencia de los recursos recibidos, así como de las respuestas brindadas</w:t>
            </w:r>
          </w:p>
        </w:tc>
      </w:tr>
      <w:tr w:rsidR="00A333F5" w:rsidRPr="005F0468" w14:paraId="2A16A940" w14:textId="77777777" w:rsidTr="006F43E4">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2231" w:type="pct"/>
          </w:tcPr>
          <w:p w14:paraId="3685D1AD"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Acta de apertura de las ofertas.</w:t>
            </w:r>
          </w:p>
        </w:tc>
        <w:tc>
          <w:tcPr>
            <w:tcW w:w="313" w:type="pct"/>
          </w:tcPr>
          <w:p w14:paraId="46C9BD34"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446C482F"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091A1A2E"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496B07CA" w14:textId="77777777" w:rsidR="00A502A0" w:rsidRPr="00A333F5" w:rsidRDefault="0000000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elaborar un acta cuando realice el acto de apertura.</w:t>
            </w:r>
          </w:p>
        </w:tc>
      </w:tr>
      <w:tr w:rsidR="00A333F5" w:rsidRPr="005F0468" w14:paraId="3A07FE9F" w14:textId="77777777" w:rsidTr="006F43E4">
        <w:trPr>
          <w:trHeight w:val="412"/>
        </w:trPr>
        <w:tc>
          <w:tcPr>
            <w:cnfStyle w:val="001000000000" w:firstRow="0" w:lastRow="0" w:firstColumn="1" w:lastColumn="0" w:oddVBand="0" w:evenVBand="0" w:oddHBand="0" w:evenHBand="0" w:firstRowFirstColumn="0" w:firstRowLastColumn="0" w:lastRowFirstColumn="0" w:lastRowLastColumn="0"/>
            <w:tcW w:w="2231" w:type="pct"/>
          </w:tcPr>
          <w:p w14:paraId="4267C00F"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rPr>
            </w:pPr>
            <w:r w:rsidRPr="00A333F5">
              <w:rPr>
                <w:rFonts w:eastAsia="Calibri" w:cstheme="minorHAnsi"/>
                <w:b w:val="0"/>
                <w:bCs w:val="0"/>
                <w:color w:val="000000"/>
                <w:sz w:val="24"/>
                <w:szCs w:val="24"/>
                <w:lang w:val="es-CR"/>
              </w:rPr>
              <w:t>Ofertas recibidas</w:t>
            </w:r>
          </w:p>
          <w:p w14:paraId="213FE80D" w14:textId="77777777" w:rsidR="00A502A0" w:rsidRPr="00A333F5" w:rsidRDefault="00A502A0">
            <w:pPr>
              <w:pStyle w:val="Prrafodelista"/>
              <w:widowControl w:val="0"/>
              <w:spacing w:before="240" w:after="0"/>
              <w:jc w:val="both"/>
              <w:rPr>
                <w:rFonts w:eastAsia="Calibri" w:cstheme="minorHAnsi"/>
                <w:b w:val="0"/>
                <w:bCs w:val="0"/>
                <w:color w:val="000000"/>
                <w:sz w:val="24"/>
                <w:szCs w:val="24"/>
                <w:lang w:val="es-CR"/>
              </w:rPr>
            </w:pPr>
          </w:p>
        </w:tc>
        <w:tc>
          <w:tcPr>
            <w:tcW w:w="313" w:type="pct"/>
          </w:tcPr>
          <w:p w14:paraId="2BB60414"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00C74671"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77E601FD"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4DE735CE" w14:textId="77777777" w:rsidR="00A502A0" w:rsidRPr="00A333F5" w:rsidRDefault="0000000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dejar la evidencia de las ofertas recibidas.</w:t>
            </w:r>
          </w:p>
        </w:tc>
      </w:tr>
      <w:tr w:rsidR="00A333F5" w:rsidRPr="005F0468" w14:paraId="66750A69" w14:textId="77777777" w:rsidTr="006F43E4">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2231" w:type="pct"/>
          </w:tcPr>
          <w:p w14:paraId="5FBFEAFB"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 xml:space="preserve">La posibilidad de subsanar los defectos que contenga la oferta, </w:t>
            </w:r>
            <w:r w:rsidRPr="00A333F5">
              <w:rPr>
                <w:rFonts w:eastAsia="Calibri" w:cstheme="minorHAnsi"/>
                <w:b w:val="0"/>
                <w:bCs w:val="0"/>
                <w:color w:val="000000"/>
                <w:sz w:val="24"/>
                <w:szCs w:val="24"/>
                <w:lang w:val="es-CR"/>
              </w:rPr>
              <w:lastRenderedPageBreak/>
              <w:t>bajo las reglas estipuladas en el Artículo 50 de la Ley N°9986</w:t>
            </w:r>
          </w:p>
          <w:p w14:paraId="60A69B7D" w14:textId="77777777" w:rsidR="00A502A0" w:rsidRPr="00A333F5" w:rsidRDefault="00A502A0">
            <w:pPr>
              <w:pStyle w:val="Prrafodelista"/>
              <w:widowControl w:val="0"/>
              <w:spacing w:before="240" w:after="0"/>
              <w:jc w:val="both"/>
              <w:rPr>
                <w:rFonts w:eastAsia="Calibri" w:cstheme="minorHAnsi"/>
                <w:b w:val="0"/>
                <w:bCs w:val="0"/>
                <w:color w:val="000000"/>
                <w:sz w:val="24"/>
                <w:szCs w:val="24"/>
                <w:lang w:val="es-CR"/>
              </w:rPr>
            </w:pPr>
          </w:p>
        </w:tc>
        <w:tc>
          <w:tcPr>
            <w:tcW w:w="313" w:type="pct"/>
          </w:tcPr>
          <w:p w14:paraId="72A7F15C"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2FE3464B"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3D0C6611"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1FB46435" w14:textId="77777777" w:rsidR="00A502A0" w:rsidRPr="00A333F5" w:rsidRDefault="0000000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 xml:space="preserve">La Junta debe dejar la evidencia de los aspectos subsanados por los </w:t>
            </w:r>
            <w:r w:rsidRPr="00A333F5">
              <w:rPr>
                <w:rFonts w:eastAsia="Calibri" w:cstheme="minorHAnsi"/>
                <w:color w:val="000000"/>
                <w:sz w:val="24"/>
                <w:szCs w:val="24"/>
                <w:lang w:val="es-CR"/>
              </w:rPr>
              <w:lastRenderedPageBreak/>
              <w:t>oferentes.</w:t>
            </w:r>
          </w:p>
        </w:tc>
      </w:tr>
      <w:tr w:rsidR="00A333F5" w:rsidRPr="005F0468" w14:paraId="5D437357" w14:textId="77777777" w:rsidTr="006F43E4">
        <w:trPr>
          <w:trHeight w:val="412"/>
        </w:trPr>
        <w:tc>
          <w:tcPr>
            <w:cnfStyle w:val="001000000000" w:firstRow="0" w:lastRow="0" w:firstColumn="1" w:lastColumn="0" w:oddVBand="0" w:evenVBand="0" w:oddHBand="0" w:evenHBand="0" w:firstRowFirstColumn="0" w:firstRowLastColumn="0" w:lastRowFirstColumn="0" w:lastRowLastColumn="0"/>
            <w:tcW w:w="2231" w:type="pct"/>
          </w:tcPr>
          <w:p w14:paraId="331D5116"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lastRenderedPageBreak/>
              <w:t>La posibilidad para todos los oferentes de mejorar su oferta económica original, en los términos del artículo 41 de la presente Ley, si así lo establece el pliego de condiciones.</w:t>
            </w:r>
          </w:p>
          <w:p w14:paraId="06BC84E6" w14:textId="77777777" w:rsidR="00A502A0" w:rsidRPr="00A333F5" w:rsidRDefault="00A502A0">
            <w:pPr>
              <w:pStyle w:val="Prrafodelista"/>
              <w:widowControl w:val="0"/>
              <w:spacing w:before="240" w:after="0"/>
              <w:jc w:val="both"/>
              <w:rPr>
                <w:rFonts w:eastAsia="Calibri" w:cstheme="minorHAnsi"/>
                <w:b w:val="0"/>
                <w:bCs w:val="0"/>
                <w:color w:val="000000"/>
                <w:sz w:val="24"/>
                <w:szCs w:val="24"/>
                <w:lang w:val="es-CR"/>
              </w:rPr>
            </w:pPr>
          </w:p>
        </w:tc>
        <w:tc>
          <w:tcPr>
            <w:tcW w:w="313" w:type="pct"/>
          </w:tcPr>
          <w:p w14:paraId="09431F1C"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6F0D2772"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66AF3C0B"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6B9F671B" w14:textId="77777777" w:rsidR="00A502A0" w:rsidRPr="00A333F5" w:rsidRDefault="0000000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dejar constancia en las actas, así como de la evidencia para el cumplimiento de este punto.</w:t>
            </w:r>
          </w:p>
        </w:tc>
      </w:tr>
      <w:tr w:rsidR="00A333F5" w:rsidRPr="005F0468" w14:paraId="59177630" w14:textId="77777777" w:rsidTr="006F43E4">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2231" w:type="pct"/>
          </w:tcPr>
          <w:p w14:paraId="7FACA63F"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El requerimiento y la rendición de garantía de cumplimiento, la cual se impone como obligatoria solo en Licitación Mayor y en la Licitación Menor. Si es una licitación reducida es facultativa para la Junta (Art. 44 Ley N°9986)</w:t>
            </w:r>
          </w:p>
        </w:tc>
        <w:tc>
          <w:tcPr>
            <w:tcW w:w="313" w:type="pct"/>
          </w:tcPr>
          <w:p w14:paraId="1D72B055"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53E360A7"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54FFD436"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757D0AE2" w14:textId="77777777" w:rsidR="00A502A0" w:rsidRPr="00A333F5" w:rsidRDefault="0000000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Si corresponde, la Junta debe dejar la evidencia del cumplimiento de la rendición de la garantía solicitada, según lo establecido en el pliego de condiciones</w:t>
            </w:r>
          </w:p>
        </w:tc>
      </w:tr>
      <w:tr w:rsidR="00A333F5" w:rsidRPr="005F0468" w14:paraId="668B3B6A" w14:textId="77777777" w:rsidTr="006F43E4">
        <w:trPr>
          <w:trHeight w:val="412"/>
        </w:trPr>
        <w:tc>
          <w:tcPr>
            <w:cnfStyle w:val="001000000000" w:firstRow="0" w:lastRow="0" w:firstColumn="1" w:lastColumn="0" w:oddVBand="0" w:evenVBand="0" w:oddHBand="0" w:evenHBand="0" w:firstRowFirstColumn="0" w:firstRowLastColumn="0" w:lastRowFirstColumn="0" w:lastRowLastColumn="0"/>
            <w:tcW w:w="2231" w:type="pct"/>
          </w:tcPr>
          <w:p w14:paraId="741DF377"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El deber de motivar el acto final del procedimiento, según lo indicado en el artículo 51 de la presente ley.</w:t>
            </w:r>
          </w:p>
        </w:tc>
        <w:tc>
          <w:tcPr>
            <w:tcW w:w="313" w:type="pct"/>
          </w:tcPr>
          <w:p w14:paraId="3C1208E1"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1AEB61E7"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53179D4E"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4BFA90A1" w14:textId="77777777" w:rsidR="00A502A0" w:rsidRPr="00A333F5" w:rsidRDefault="00000000">
            <w:pPr>
              <w:widowControl w:val="0"/>
              <w:suppressAutoHyphens w:val="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dejar constancia en las actas del análisis y la evaluación de las ofertas y de la motivación del acto final ya sea una adjudicación, declaratoria de desierto o de infructuoso, la cual deberá consistir en una decisión informada de la persona u órgano que lo adopte, motivada en criterios técnicos y jurídicos.</w:t>
            </w:r>
          </w:p>
        </w:tc>
      </w:tr>
      <w:tr w:rsidR="00A333F5" w:rsidRPr="005F0468" w14:paraId="3C542BB6" w14:textId="77777777" w:rsidTr="006F43E4">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2231" w:type="pct"/>
          </w:tcPr>
          <w:p w14:paraId="067343ED"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La posibilidad de recurrir el acto final del procedimiento, siendo competente para conocerlo la Contraloría General de la República (Licitación Mayor); o la Administración que promueve el procedimiento (Licitación Menor y Licitación Reducida).</w:t>
            </w:r>
          </w:p>
        </w:tc>
        <w:tc>
          <w:tcPr>
            <w:tcW w:w="313" w:type="pct"/>
          </w:tcPr>
          <w:p w14:paraId="0F019C97"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4BE0F6E4"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106C5ED9"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1778" w:type="pct"/>
          </w:tcPr>
          <w:p w14:paraId="287F7264" w14:textId="77777777" w:rsidR="00A502A0" w:rsidRPr="00A333F5" w:rsidRDefault="0000000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dejar constancia en las actas, así como de la evidencia de los recursos recibidos y de lo actuado.</w:t>
            </w:r>
          </w:p>
        </w:tc>
      </w:tr>
      <w:tr w:rsidR="00A333F5" w:rsidRPr="005F0468" w14:paraId="1CE082E0" w14:textId="77777777" w:rsidTr="006F43E4">
        <w:trPr>
          <w:trHeight w:val="412"/>
        </w:trPr>
        <w:tc>
          <w:tcPr>
            <w:cnfStyle w:val="001000000000" w:firstRow="0" w:lastRow="0" w:firstColumn="1" w:lastColumn="0" w:oddVBand="0" w:evenVBand="0" w:oddHBand="0" w:evenHBand="0" w:firstRowFirstColumn="0" w:firstRowLastColumn="0" w:lastRowFirstColumn="0" w:lastRowLastColumn="0"/>
            <w:tcW w:w="2231" w:type="pct"/>
          </w:tcPr>
          <w:p w14:paraId="041DC69A"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lastRenderedPageBreak/>
              <w:t>Para el caso de la Licitación Mayor, la obligación de readjudicar o declarar desierto o infructuoso el concurso ante la anulación del acto final del procedimiento derivado de un recurso de apelación, dentro del plazo máximo de quince días hábiles a partir de la comunicación de la resolución anulatoria. En casos excepcionales debidamente motivados ese plazo podrá ser prorrogado hasta por quince días hábiles adicionales.</w:t>
            </w:r>
          </w:p>
          <w:p w14:paraId="0558C17D" w14:textId="77777777" w:rsidR="00A502A0" w:rsidRPr="00A333F5" w:rsidRDefault="00A502A0">
            <w:pPr>
              <w:pStyle w:val="Prrafodelista"/>
              <w:widowControl w:val="0"/>
              <w:spacing w:before="240" w:after="0"/>
              <w:jc w:val="both"/>
              <w:rPr>
                <w:rFonts w:eastAsia="Calibri" w:cstheme="minorHAnsi"/>
                <w:lang w:val="es-CR"/>
              </w:rPr>
            </w:pPr>
          </w:p>
          <w:p w14:paraId="39038D16"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Para el caso de la Licitación Menor, la obligación de readjudicar o declarar desierto o infructuoso el concurso ante la anulación del acto final del procedimiento derivado de un recurso de revocatoria, dentro del plazo máximo de diez días hábiles a partir de la comunicación de la resolución anulatoria. En casos excepcionales, debidamente motivados, este plazo podrá ser prorrogado hasta por cinco días hábiles adicionales.</w:t>
            </w:r>
          </w:p>
          <w:p w14:paraId="58485311" w14:textId="77777777" w:rsidR="00A502A0" w:rsidRPr="00A333F5" w:rsidRDefault="00A502A0">
            <w:pPr>
              <w:pStyle w:val="Prrafodelista"/>
              <w:widowControl w:val="0"/>
              <w:spacing w:before="240" w:after="0"/>
              <w:jc w:val="both"/>
              <w:rPr>
                <w:rFonts w:eastAsia="Calibri" w:cstheme="minorHAnsi"/>
                <w:lang w:val="es-CR"/>
              </w:rPr>
            </w:pPr>
          </w:p>
          <w:p w14:paraId="69A7975A"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 xml:space="preserve">Para el caso de la Licitación Reducida, la obligación de readjudicar o declarar desierto o infructuoso el concurso ante la anulación del acto final del procedimiento derivado de un recurso de revocatoria regulado en este artículo, dentro del plazo máximo de tres días hábiles a partir de la comunicación de la resolución </w:t>
            </w:r>
            <w:r w:rsidRPr="00A333F5">
              <w:rPr>
                <w:rFonts w:eastAsia="Calibri" w:cstheme="minorHAnsi"/>
                <w:b w:val="0"/>
                <w:bCs w:val="0"/>
                <w:color w:val="000000"/>
                <w:sz w:val="24"/>
                <w:szCs w:val="24"/>
                <w:lang w:val="es-CR"/>
              </w:rPr>
              <w:lastRenderedPageBreak/>
              <w:t>anulatoria. Únicamente en casos excepcionales, por única vez y mediante acto debidamente motivado, el plazo para el dictado del acto final se podrá prorrogar por un plazo igual al inicial para recibir ofertas.</w:t>
            </w:r>
          </w:p>
        </w:tc>
        <w:tc>
          <w:tcPr>
            <w:tcW w:w="313" w:type="pct"/>
          </w:tcPr>
          <w:p w14:paraId="5D665247"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396F4DED"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7E0D58A8"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1778" w:type="pct"/>
          </w:tcPr>
          <w:p w14:paraId="610F23E2" w14:textId="77777777" w:rsidR="00A502A0" w:rsidRPr="00A333F5" w:rsidRDefault="0000000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dejar constancia en las actas, así como de la evidencia de lo actuado.</w:t>
            </w:r>
          </w:p>
        </w:tc>
      </w:tr>
      <w:tr w:rsidR="00A333F5" w:rsidRPr="005F0468" w14:paraId="6DF2A711" w14:textId="77777777" w:rsidTr="006F43E4">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2231" w:type="pct"/>
          </w:tcPr>
          <w:p w14:paraId="6C0982D2"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rPr>
            </w:pPr>
            <w:r w:rsidRPr="00A333F5">
              <w:rPr>
                <w:rFonts w:eastAsia="Calibri" w:cstheme="minorHAnsi"/>
                <w:b w:val="0"/>
                <w:bCs w:val="0"/>
                <w:color w:val="000000"/>
                <w:sz w:val="24"/>
                <w:szCs w:val="24"/>
                <w:lang w:val="es-CR"/>
              </w:rPr>
              <w:t>Orden de compra</w:t>
            </w:r>
          </w:p>
        </w:tc>
        <w:tc>
          <w:tcPr>
            <w:tcW w:w="313" w:type="pct"/>
          </w:tcPr>
          <w:p w14:paraId="43EC9C03"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672A0451"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51F48079"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1778" w:type="pct"/>
          </w:tcPr>
          <w:p w14:paraId="2BF19520" w14:textId="77777777" w:rsidR="00A502A0" w:rsidRPr="00A333F5" w:rsidRDefault="0000000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dejar constancia en las actas, así como de la evidencia de lo actuado.</w:t>
            </w:r>
          </w:p>
        </w:tc>
      </w:tr>
      <w:tr w:rsidR="00A333F5" w:rsidRPr="00A333F5" w14:paraId="2D467085" w14:textId="77777777" w:rsidTr="006F43E4">
        <w:trPr>
          <w:trHeight w:val="412"/>
        </w:trPr>
        <w:tc>
          <w:tcPr>
            <w:cnfStyle w:val="001000000000" w:firstRow="0" w:lastRow="0" w:firstColumn="1" w:lastColumn="0" w:oddVBand="0" w:evenVBand="0" w:oddHBand="0" w:evenHBand="0" w:firstRowFirstColumn="0" w:firstRowLastColumn="0" w:lastRowFirstColumn="0" w:lastRowLastColumn="0"/>
            <w:tcW w:w="2231" w:type="pct"/>
          </w:tcPr>
          <w:p w14:paraId="11002B18" w14:textId="77777777" w:rsidR="00A502A0" w:rsidRPr="00A333F5" w:rsidRDefault="00000000">
            <w:pPr>
              <w:widowControl w:val="0"/>
              <w:numPr>
                <w:ilvl w:val="0"/>
                <w:numId w:val="1"/>
              </w:numPr>
              <w:contextualSpacing w:val="0"/>
              <w:jc w:val="both"/>
              <w:rPr>
                <w:rFonts w:cstheme="minorHAnsi"/>
                <w:b w:val="0"/>
                <w:bCs w:val="0"/>
                <w:color w:val="000000"/>
                <w:sz w:val="24"/>
                <w:szCs w:val="24"/>
                <w:lang w:val="es-CR"/>
              </w:rPr>
            </w:pPr>
            <w:r w:rsidRPr="00A333F5">
              <w:rPr>
                <w:rFonts w:eastAsia="Calibri" w:cstheme="minorHAnsi"/>
                <w:b w:val="0"/>
                <w:bCs w:val="0"/>
                <w:color w:val="1C1D1D"/>
                <w:sz w:val="24"/>
                <w:szCs w:val="24"/>
                <w:lang w:val="es-ES"/>
              </w:rPr>
              <w:t xml:space="preserve">Contrato firmado </w:t>
            </w:r>
            <w:r w:rsidRPr="00A333F5">
              <w:rPr>
                <w:rFonts w:eastAsia="Calibri" w:cstheme="minorHAnsi"/>
                <w:b w:val="0"/>
                <w:bCs w:val="0"/>
                <w:color w:val="0A0A0A"/>
                <w:sz w:val="24"/>
                <w:szCs w:val="24"/>
                <w:lang w:val="es-ES"/>
              </w:rPr>
              <w:t>entre quien promueva el procedimiento y el contratista, una vez firme el acto de adjudicación y rendida la garantía de cumplimiento cuando haya sido exigida</w:t>
            </w:r>
            <w:r w:rsidRPr="00A333F5">
              <w:rPr>
                <w:rFonts w:eastAsia="Calibri" w:cstheme="minorHAnsi"/>
                <w:b w:val="0"/>
                <w:bCs w:val="0"/>
                <w:color w:val="1E1E1F"/>
                <w:sz w:val="24"/>
                <w:szCs w:val="24"/>
                <w:lang w:val="es-CR"/>
              </w:rPr>
              <w:t>? (Art. 101 Ley N°9986)</w:t>
            </w:r>
          </w:p>
        </w:tc>
        <w:tc>
          <w:tcPr>
            <w:tcW w:w="313" w:type="pct"/>
          </w:tcPr>
          <w:p w14:paraId="4E81EB32"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6928AED5"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58C82121"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1778" w:type="pct"/>
          </w:tcPr>
          <w:p w14:paraId="10ABE394"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r>
      <w:tr w:rsidR="00A333F5" w:rsidRPr="005F0468" w14:paraId="72977E89" w14:textId="77777777" w:rsidTr="006F43E4">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2231" w:type="pct"/>
          </w:tcPr>
          <w:p w14:paraId="02576A4C"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ES"/>
              </w:rPr>
              <w:t xml:space="preserve">Acta de recepción del bien o servicio contratado </w:t>
            </w:r>
            <w:r w:rsidRPr="00A333F5">
              <w:rPr>
                <w:rFonts w:eastAsia="Calibri" w:cstheme="minorHAnsi"/>
                <w:b w:val="0"/>
                <w:bCs w:val="0"/>
                <w:color w:val="1E1E1F"/>
                <w:sz w:val="24"/>
                <w:szCs w:val="24"/>
                <w:lang w:val="es-ES"/>
              </w:rPr>
              <w:t>(Art. 109 Ley N°9986 y Artículos 284 al 288 Reglamento Ley N°9986)</w:t>
            </w:r>
          </w:p>
        </w:tc>
        <w:tc>
          <w:tcPr>
            <w:tcW w:w="313" w:type="pct"/>
          </w:tcPr>
          <w:p w14:paraId="6E95A020"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7D2CE682"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3E93F5F3"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1778" w:type="pct"/>
          </w:tcPr>
          <w:p w14:paraId="4D4F3455" w14:textId="77777777" w:rsidR="00A502A0" w:rsidRPr="00A333F5" w:rsidRDefault="0000000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dejar constancia en las actas, así como de la evidencia de lo actuado.</w:t>
            </w:r>
          </w:p>
        </w:tc>
      </w:tr>
      <w:tr w:rsidR="00A333F5" w:rsidRPr="005F0468" w14:paraId="5DAEA376" w14:textId="77777777" w:rsidTr="006F43E4">
        <w:trPr>
          <w:trHeight w:val="412"/>
        </w:trPr>
        <w:tc>
          <w:tcPr>
            <w:cnfStyle w:val="001000000000" w:firstRow="0" w:lastRow="0" w:firstColumn="1" w:lastColumn="0" w:oddVBand="0" w:evenVBand="0" w:oddHBand="0" w:evenHBand="0" w:firstRowFirstColumn="0" w:firstRowLastColumn="0" w:lastRowFirstColumn="0" w:lastRowLastColumn="0"/>
            <w:tcW w:w="2231" w:type="pct"/>
          </w:tcPr>
          <w:p w14:paraId="38DE4FEC"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Factura en donde se brinda el recibido conforme del bien o servicio y copia del pago realizado.</w:t>
            </w:r>
          </w:p>
        </w:tc>
        <w:tc>
          <w:tcPr>
            <w:tcW w:w="313" w:type="pct"/>
          </w:tcPr>
          <w:p w14:paraId="43ACD7D7"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58E13B68"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53B0D8A0"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427355C8" w14:textId="77777777" w:rsidR="00A502A0" w:rsidRPr="00A333F5" w:rsidRDefault="0000000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dejar constancia en las actas, así como de la evidencia de lo actuado.</w:t>
            </w:r>
          </w:p>
        </w:tc>
      </w:tr>
      <w:tr w:rsidR="00A333F5" w:rsidRPr="005F0468" w14:paraId="555C1E98" w14:textId="77777777" w:rsidTr="006F43E4">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2231" w:type="pct"/>
          </w:tcPr>
          <w:p w14:paraId="0FC1BC7D"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Devolución o ejecución de la garantía brindada, si corresponde</w:t>
            </w:r>
          </w:p>
        </w:tc>
        <w:tc>
          <w:tcPr>
            <w:tcW w:w="313" w:type="pct"/>
          </w:tcPr>
          <w:p w14:paraId="1668B9FD"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4AB3E9B0"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7318E96A"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1DBF779A" w14:textId="77777777" w:rsidR="00A502A0" w:rsidRPr="00A333F5" w:rsidRDefault="0000000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dejar constancia en las actas, así como de la evidencia de lo actuado.</w:t>
            </w:r>
          </w:p>
        </w:tc>
      </w:tr>
      <w:tr w:rsidR="00A333F5" w:rsidRPr="005F0468" w14:paraId="5C5D3EDE" w14:textId="77777777" w:rsidTr="006F43E4">
        <w:trPr>
          <w:trHeight w:val="823"/>
        </w:trPr>
        <w:tc>
          <w:tcPr>
            <w:cnfStyle w:val="001000000000" w:firstRow="0" w:lastRow="0" w:firstColumn="1" w:lastColumn="0" w:oddVBand="0" w:evenVBand="0" w:oddHBand="0" w:evenHBand="0" w:firstRowFirstColumn="0" w:firstRowLastColumn="0" w:lastRowFirstColumn="0" w:lastRowLastColumn="0"/>
            <w:tcW w:w="2231" w:type="pct"/>
          </w:tcPr>
          <w:p w14:paraId="4A0E8A48"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cstheme="minorHAnsi"/>
                <w:b w:val="0"/>
                <w:bCs w:val="0"/>
                <w:color w:val="000000"/>
                <w:sz w:val="24"/>
                <w:szCs w:val="24"/>
                <w:lang w:val="es-CR"/>
              </w:rPr>
              <w:t>Copia del acuerdo de Junta en donde se aprueba el pago de la factura por la contratación realizada?</w:t>
            </w:r>
          </w:p>
        </w:tc>
        <w:tc>
          <w:tcPr>
            <w:tcW w:w="313" w:type="pct"/>
          </w:tcPr>
          <w:p w14:paraId="2ADBB690"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341" w:type="pct"/>
          </w:tcPr>
          <w:p w14:paraId="49F773F3"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337" w:type="pct"/>
          </w:tcPr>
          <w:p w14:paraId="35280F9D"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1778" w:type="pct"/>
          </w:tcPr>
          <w:p w14:paraId="5CEBC7CF" w14:textId="77777777" w:rsidR="00A502A0" w:rsidRPr="00A333F5" w:rsidRDefault="0000000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r w:rsidRPr="00A333F5">
              <w:rPr>
                <w:rFonts w:cstheme="minorHAnsi"/>
                <w:color w:val="000000"/>
                <w:sz w:val="24"/>
                <w:szCs w:val="24"/>
                <w:lang w:val="es-CR"/>
              </w:rPr>
              <w:t>La Junta debe analizar y aprobar el pago de la factura correspondiente.</w:t>
            </w:r>
          </w:p>
        </w:tc>
      </w:tr>
      <w:tr w:rsidR="00A333F5" w:rsidRPr="005F0468" w14:paraId="0F9E592C" w14:textId="77777777" w:rsidTr="006F43E4">
        <w:trPr>
          <w:cnfStyle w:val="000000100000" w:firstRow="0" w:lastRow="0" w:firstColumn="0" w:lastColumn="0" w:oddVBand="0" w:evenVBand="0" w:oddHBand="1" w:evenHBand="0" w:firstRowFirstColumn="0" w:firstRowLastColumn="0" w:lastRowFirstColumn="0" w:lastRowLastColumn="0"/>
          <w:trHeight w:val="823"/>
        </w:trPr>
        <w:tc>
          <w:tcPr>
            <w:cnfStyle w:val="001000000000" w:firstRow="0" w:lastRow="0" w:firstColumn="1" w:lastColumn="0" w:oddVBand="0" w:evenVBand="0" w:oddHBand="0" w:evenHBand="0" w:firstRowFirstColumn="0" w:firstRowLastColumn="0" w:lastRowFirstColumn="0" w:lastRowLastColumn="0"/>
            <w:tcW w:w="2231" w:type="pct"/>
          </w:tcPr>
          <w:p w14:paraId="0041AF5B" w14:textId="77777777" w:rsidR="00A502A0" w:rsidRPr="00A333F5" w:rsidRDefault="00000000">
            <w:pPr>
              <w:pStyle w:val="Prrafodelista"/>
              <w:widowControl w:val="0"/>
              <w:numPr>
                <w:ilvl w:val="0"/>
                <w:numId w:val="1"/>
              </w:numPr>
              <w:spacing w:before="240" w:after="0"/>
              <w:jc w:val="both"/>
              <w:rPr>
                <w:rFonts w:cstheme="minorHAnsi"/>
                <w:b w:val="0"/>
                <w:bCs w:val="0"/>
                <w:color w:val="000000"/>
                <w:sz w:val="24"/>
                <w:szCs w:val="24"/>
                <w:lang w:val="es-CR"/>
              </w:rPr>
            </w:pPr>
            <w:r w:rsidRPr="00A333F5">
              <w:rPr>
                <w:rFonts w:cstheme="minorHAnsi"/>
                <w:b w:val="0"/>
                <w:bCs w:val="0"/>
                <w:color w:val="000000"/>
                <w:sz w:val="24"/>
                <w:szCs w:val="24"/>
                <w:lang w:val="es-CR"/>
              </w:rPr>
              <w:t>Copia de la planilla de pago, así como del pago realizado al adjudicatario de la factura por la contratación realizada?</w:t>
            </w:r>
          </w:p>
        </w:tc>
        <w:tc>
          <w:tcPr>
            <w:tcW w:w="313" w:type="pct"/>
          </w:tcPr>
          <w:p w14:paraId="72F0EE54"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1FF3F62B"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6D3795D4"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087BC76D" w14:textId="77777777" w:rsidR="00A502A0" w:rsidRPr="00A333F5" w:rsidRDefault="0000000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r w:rsidRPr="00A333F5">
              <w:rPr>
                <w:rFonts w:eastAsia="Calibri" w:cstheme="minorHAnsi"/>
                <w:color w:val="000000"/>
                <w:sz w:val="24"/>
                <w:szCs w:val="24"/>
                <w:lang w:val="es-CR"/>
              </w:rPr>
              <w:t>La Junta debe dejar  copia del planilla y del cheque o transferencia del pago realizado en el expediente.</w:t>
            </w:r>
          </w:p>
        </w:tc>
      </w:tr>
      <w:tr w:rsidR="00A333F5" w:rsidRPr="005F0468" w14:paraId="59FAB89A" w14:textId="77777777" w:rsidTr="006F43E4">
        <w:trPr>
          <w:trHeight w:val="720"/>
        </w:trPr>
        <w:tc>
          <w:tcPr>
            <w:cnfStyle w:val="001000000000" w:firstRow="0" w:lastRow="0" w:firstColumn="1" w:lastColumn="0" w:oddVBand="0" w:evenVBand="0" w:oddHBand="0" w:evenHBand="0" w:firstRowFirstColumn="0" w:firstRowLastColumn="0" w:lastRowFirstColumn="0" w:lastRowLastColumn="0"/>
            <w:tcW w:w="2231" w:type="pct"/>
          </w:tcPr>
          <w:p w14:paraId="48CFA5C8"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lastRenderedPageBreak/>
              <w:t>¿Se elaboró y firmó el acta de apertura de las ofertas, por los presentes?</w:t>
            </w:r>
          </w:p>
        </w:tc>
        <w:tc>
          <w:tcPr>
            <w:tcW w:w="313" w:type="pct"/>
          </w:tcPr>
          <w:p w14:paraId="6117B75B"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65E205C2"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2B03CC4E"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1778" w:type="pct"/>
          </w:tcPr>
          <w:p w14:paraId="4BC1843B"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0A4EB072" w14:textId="77777777" w:rsidTr="006F43E4">
        <w:trPr>
          <w:cnfStyle w:val="000000100000" w:firstRow="0" w:lastRow="0" w:firstColumn="0" w:lastColumn="0" w:oddVBand="0" w:evenVBand="0" w:oddHBand="1" w:evenHBand="0" w:firstRowFirstColumn="0" w:firstRowLastColumn="0" w:lastRowFirstColumn="0" w:lastRowLastColumn="0"/>
          <w:trHeight w:val="787"/>
        </w:trPr>
        <w:tc>
          <w:tcPr>
            <w:cnfStyle w:val="001000000000" w:firstRow="0" w:lastRow="0" w:firstColumn="1" w:lastColumn="0" w:oddVBand="0" w:evenVBand="0" w:oddHBand="0" w:evenHBand="0" w:firstRowFirstColumn="0" w:firstRowLastColumn="0" w:lastRowFirstColumn="0" w:lastRowLastColumn="0"/>
            <w:tcW w:w="2231" w:type="pct"/>
          </w:tcPr>
          <w:p w14:paraId="0288DEBD"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 xml:space="preserve">La oferta de los proveedores cumple con las declaraciones y certificaciones </w:t>
            </w:r>
            <w:r w:rsidRPr="00A333F5">
              <w:rPr>
                <w:rFonts w:cstheme="minorHAnsi"/>
                <w:b w:val="0"/>
                <w:bCs w:val="0"/>
                <w:color w:val="000000"/>
                <w:sz w:val="24"/>
                <w:szCs w:val="24"/>
                <w:lang w:val="es-CR"/>
              </w:rPr>
              <w:t>establecidas por la Ley de Compras Públicas y su reglamento (Art. 29 Ley N°9986 y Art. 122 Reglamento Ley N°9986).</w:t>
            </w:r>
          </w:p>
        </w:tc>
        <w:tc>
          <w:tcPr>
            <w:tcW w:w="313" w:type="pct"/>
          </w:tcPr>
          <w:p w14:paraId="57D5B6A0"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3CCBFA49"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784D8B0C"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51DC44F8"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12051F4B" w14:textId="77777777" w:rsidTr="006F43E4">
        <w:trPr>
          <w:trHeight w:val="630"/>
        </w:trPr>
        <w:tc>
          <w:tcPr>
            <w:cnfStyle w:val="001000000000" w:firstRow="0" w:lastRow="0" w:firstColumn="1" w:lastColumn="0" w:oddVBand="0" w:evenVBand="0" w:oddHBand="0" w:evenHBand="0" w:firstRowFirstColumn="0" w:firstRowLastColumn="0" w:lastRowFirstColumn="0" w:lastRowLastColumn="0"/>
            <w:tcW w:w="2231" w:type="pct"/>
          </w:tcPr>
          <w:p w14:paraId="07D3AA6F"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¿Se verificó que el proveedor este al día con las obligaciones de la seguridad social, CCSS, Ministerio de Hacienda, FODESAF, impuesto a las sociedades, (impuestos nacionales) (Art 14 Ley N°9986).</w:t>
            </w:r>
          </w:p>
        </w:tc>
        <w:tc>
          <w:tcPr>
            <w:tcW w:w="313" w:type="pct"/>
          </w:tcPr>
          <w:p w14:paraId="5E3E0D75"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0D9736FF"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7D2580EA"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22CF9EA0"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19F4AF0C" w14:textId="77777777" w:rsidTr="006F43E4">
        <w:trPr>
          <w:cnfStyle w:val="000000100000" w:firstRow="0" w:lastRow="0" w:firstColumn="0" w:lastColumn="0" w:oddVBand="0" w:evenVBand="0" w:oddHBand="1" w:evenHBand="0" w:firstRowFirstColumn="0" w:firstRowLastColumn="0" w:lastRowFirstColumn="0" w:lastRowLastColumn="0"/>
          <w:trHeight w:val="490"/>
        </w:trPr>
        <w:tc>
          <w:tcPr>
            <w:cnfStyle w:val="001000000000" w:firstRow="0" w:lastRow="0" w:firstColumn="1" w:lastColumn="0" w:oddVBand="0" w:evenVBand="0" w:oddHBand="0" w:evenHBand="0" w:firstRowFirstColumn="0" w:firstRowLastColumn="0" w:lastRowFirstColumn="0" w:lastRowLastColumn="0"/>
            <w:tcW w:w="2231" w:type="pct"/>
          </w:tcPr>
          <w:p w14:paraId="698E3871"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 xml:space="preserve">¿La Junta verificó que si hay subcontratistas en la oferta, se indica quienes son, el objeto de subcontratación y que el porcentaje de subcontratación no podrá superar el cincuenta por ciento (50%) del monto total del contrato? (Art 49 Ley N°9986 y </w:t>
            </w:r>
            <w:r w:rsidRPr="00A333F5">
              <w:rPr>
                <w:rFonts w:cstheme="minorHAnsi"/>
                <w:b w:val="0"/>
                <w:bCs w:val="0"/>
                <w:color w:val="000000"/>
                <w:sz w:val="24"/>
                <w:szCs w:val="24"/>
                <w:lang w:val="es-CR"/>
              </w:rPr>
              <w:t>Art. 133 Reglamento Ley N°9986</w:t>
            </w:r>
            <w:r w:rsidRPr="00A333F5">
              <w:rPr>
                <w:rFonts w:eastAsia="Calibri" w:cstheme="minorHAnsi"/>
                <w:b w:val="0"/>
                <w:bCs w:val="0"/>
                <w:color w:val="000000"/>
                <w:sz w:val="24"/>
                <w:szCs w:val="24"/>
                <w:lang w:val="es-CR"/>
              </w:rPr>
              <w:t>).</w:t>
            </w:r>
          </w:p>
          <w:p w14:paraId="101829BC" w14:textId="77777777" w:rsidR="00A502A0" w:rsidRPr="00A333F5" w:rsidRDefault="00A502A0">
            <w:pPr>
              <w:widowControl w:val="0"/>
              <w:contextualSpacing w:val="0"/>
              <w:jc w:val="both"/>
              <w:rPr>
                <w:rFonts w:eastAsia="Calibri" w:cstheme="minorHAnsi"/>
                <w:lang w:val="es-CR"/>
              </w:rPr>
            </w:pPr>
          </w:p>
        </w:tc>
        <w:tc>
          <w:tcPr>
            <w:tcW w:w="313" w:type="pct"/>
          </w:tcPr>
          <w:p w14:paraId="0A05CD3E"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1B9F82FE"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5170F7FB"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75E62A61"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3717BAF8" w14:textId="77777777" w:rsidTr="006F43E4">
        <w:trPr>
          <w:trHeight w:val="490"/>
        </w:trPr>
        <w:tc>
          <w:tcPr>
            <w:cnfStyle w:val="001000000000" w:firstRow="0" w:lastRow="0" w:firstColumn="1" w:lastColumn="0" w:oddVBand="0" w:evenVBand="0" w:oddHBand="0" w:evenHBand="0" w:firstRowFirstColumn="0" w:firstRowLastColumn="0" w:lastRowFirstColumn="0" w:lastRowLastColumn="0"/>
            <w:tcW w:w="2231" w:type="pct"/>
          </w:tcPr>
          <w:p w14:paraId="5AEC10BC"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 xml:space="preserve">¿La Junta verificó que una persona física o jurídica únicamente podrá figurar para un mismo concurso en una oferta ya sea como subcontratista, oferente individual o participar de forma conjunta o consorciada? En casos excepcionales, cuando se acredite que en el mercado existe un número limitado de eventuales subcontratistas, la Administración podrá, de manera razonada, habilitar en el pliego de condiciones la posibilidad que un mismo subcontratista sea ofrecido por diferentes oferentes (Art 49 Ley N°9986 y </w:t>
            </w:r>
            <w:r w:rsidRPr="00A333F5">
              <w:rPr>
                <w:rFonts w:cstheme="minorHAnsi"/>
                <w:b w:val="0"/>
                <w:bCs w:val="0"/>
                <w:color w:val="000000"/>
                <w:sz w:val="24"/>
                <w:szCs w:val="24"/>
                <w:lang w:val="es-CR"/>
              </w:rPr>
              <w:t>Art. 126 Reglamento Ley N°9986</w:t>
            </w:r>
            <w:r w:rsidRPr="00A333F5">
              <w:rPr>
                <w:rFonts w:eastAsia="Calibri" w:cstheme="minorHAnsi"/>
                <w:b w:val="0"/>
                <w:bCs w:val="0"/>
                <w:color w:val="000000"/>
                <w:sz w:val="24"/>
                <w:szCs w:val="24"/>
                <w:lang w:val="es-CR"/>
              </w:rPr>
              <w:t>).</w:t>
            </w:r>
          </w:p>
          <w:p w14:paraId="2D4AF109" w14:textId="77777777" w:rsidR="00A502A0" w:rsidRPr="00A333F5" w:rsidRDefault="00A502A0">
            <w:pPr>
              <w:widowControl w:val="0"/>
              <w:contextualSpacing w:val="0"/>
              <w:jc w:val="both"/>
              <w:rPr>
                <w:rFonts w:eastAsia="Calibri" w:cstheme="minorHAnsi"/>
                <w:b w:val="0"/>
                <w:bCs w:val="0"/>
                <w:color w:val="000000"/>
                <w:sz w:val="24"/>
                <w:szCs w:val="24"/>
                <w:lang w:val="es-CR"/>
              </w:rPr>
            </w:pPr>
          </w:p>
        </w:tc>
        <w:tc>
          <w:tcPr>
            <w:tcW w:w="313" w:type="pct"/>
          </w:tcPr>
          <w:p w14:paraId="2F0DBFF6"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3D8A041A"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72CC3B13"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20033BBE"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7BDA8C7F" w14:textId="77777777" w:rsidTr="006F43E4">
        <w:trPr>
          <w:cnfStyle w:val="000000100000" w:firstRow="0" w:lastRow="0" w:firstColumn="0" w:lastColumn="0" w:oddVBand="0" w:evenVBand="0" w:oddHBand="1" w:evenHBand="0" w:firstRowFirstColumn="0" w:firstRowLastColumn="0" w:lastRowFirstColumn="0" w:lastRowLastColumn="0"/>
          <w:trHeight w:val="490"/>
        </w:trPr>
        <w:tc>
          <w:tcPr>
            <w:cnfStyle w:val="001000000000" w:firstRow="0" w:lastRow="0" w:firstColumn="1" w:lastColumn="0" w:oddVBand="0" w:evenVBand="0" w:oddHBand="0" w:evenHBand="0" w:firstRowFirstColumn="0" w:firstRowLastColumn="0" w:lastRowFirstColumn="0" w:lastRowLastColumn="0"/>
            <w:tcW w:w="2231" w:type="pct"/>
          </w:tcPr>
          <w:p w14:paraId="246C98DB"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lastRenderedPageBreak/>
              <w:t>¿La Junta conoce y atendió que podrán ser susceptibles de subsanación los defectos que contenga una oferta, siempre y cuando con ello no se otorgue una ventaja indebida?</w:t>
            </w:r>
          </w:p>
          <w:p w14:paraId="7530DE73"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 xml:space="preserve">Una vez emitidos los estudios de ofertas, la Administración consolidará los defectos advertidos en cada uno de ellos y dará una única prevención por un plazo razonable para que el oferente subsane o aclare su oferta, bajo pena de caducidad. En el mismo plazo concedido el oferente deberá subsanar o aclarar aquellos extremos no prevenidos por la Administración (Art 50 Ley N°9986 y </w:t>
            </w:r>
            <w:r w:rsidRPr="00A333F5">
              <w:rPr>
                <w:rFonts w:cstheme="minorHAnsi"/>
                <w:b w:val="0"/>
                <w:bCs w:val="0"/>
                <w:color w:val="000000"/>
                <w:sz w:val="24"/>
                <w:szCs w:val="24"/>
                <w:lang w:val="es-CR"/>
              </w:rPr>
              <w:t>Art. 134 y 135 Reglamento Ley N°9986</w:t>
            </w:r>
            <w:r w:rsidRPr="00A333F5">
              <w:rPr>
                <w:rFonts w:eastAsia="Calibri" w:cstheme="minorHAnsi"/>
                <w:b w:val="0"/>
                <w:bCs w:val="0"/>
                <w:color w:val="000000"/>
                <w:sz w:val="24"/>
                <w:szCs w:val="24"/>
                <w:lang w:val="es-CR"/>
              </w:rPr>
              <w:t>).).</w:t>
            </w:r>
          </w:p>
        </w:tc>
        <w:tc>
          <w:tcPr>
            <w:tcW w:w="313" w:type="pct"/>
          </w:tcPr>
          <w:p w14:paraId="6ED2DA42"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2A0C192D"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2D2EAF49"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7307587C"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2952C590" w14:textId="77777777" w:rsidTr="006F43E4">
        <w:trPr>
          <w:trHeight w:val="490"/>
        </w:trPr>
        <w:tc>
          <w:tcPr>
            <w:cnfStyle w:val="001000000000" w:firstRow="0" w:lastRow="0" w:firstColumn="1" w:lastColumn="0" w:oddVBand="0" w:evenVBand="0" w:oddHBand="0" w:evenHBand="0" w:firstRowFirstColumn="0" w:firstRowLastColumn="0" w:lastRowFirstColumn="0" w:lastRowLastColumn="0"/>
            <w:tcW w:w="2231" w:type="pct"/>
          </w:tcPr>
          <w:p w14:paraId="0A4CE34B"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¿Se verificó que los subcontratistas (si corresponde) se encuentren al día con las obligaciones de la seguridad social, tanto de la Caja Costarricense de Seguro Social y el Fondo de Desarrollo Social y Asignaciones Familiares (Art 14 Ley N°9986).</w:t>
            </w:r>
          </w:p>
          <w:p w14:paraId="42B8712A" w14:textId="77777777" w:rsidR="00A502A0" w:rsidRPr="00A333F5" w:rsidRDefault="00A502A0">
            <w:pPr>
              <w:widowControl w:val="0"/>
              <w:contextualSpacing w:val="0"/>
              <w:jc w:val="both"/>
              <w:rPr>
                <w:rFonts w:eastAsia="Calibri" w:cstheme="minorHAnsi"/>
                <w:b w:val="0"/>
                <w:bCs w:val="0"/>
                <w:color w:val="000000"/>
                <w:sz w:val="24"/>
                <w:szCs w:val="24"/>
                <w:lang w:val="es-CR"/>
              </w:rPr>
            </w:pPr>
          </w:p>
        </w:tc>
        <w:tc>
          <w:tcPr>
            <w:tcW w:w="313" w:type="pct"/>
          </w:tcPr>
          <w:p w14:paraId="38DA2596"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23E0B05A"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7DDA43C2"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39666C3A"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52202217" w14:textId="77777777" w:rsidTr="006F43E4">
        <w:trPr>
          <w:cnfStyle w:val="000000100000" w:firstRow="0" w:lastRow="0" w:firstColumn="0" w:lastColumn="0" w:oddVBand="0" w:evenVBand="0" w:oddHBand="1" w:evenHBand="0" w:firstRowFirstColumn="0" w:firstRowLastColumn="0" w:lastRowFirstColumn="0" w:lastRowLastColumn="0"/>
          <w:trHeight w:val="490"/>
        </w:trPr>
        <w:tc>
          <w:tcPr>
            <w:cnfStyle w:val="001000000000" w:firstRow="0" w:lastRow="0" w:firstColumn="1" w:lastColumn="0" w:oddVBand="0" w:evenVBand="0" w:oddHBand="0" w:evenHBand="0" w:firstRowFirstColumn="0" w:firstRowLastColumn="0" w:lastRowFirstColumn="0" w:lastRowLastColumn="0"/>
            <w:tcW w:w="2231" w:type="pct"/>
          </w:tcPr>
          <w:p w14:paraId="6771ECA4"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CR"/>
              </w:rPr>
              <w:t>¿La Junta atendió que se estimarán inaceptables y no formarán parte de las ofertas elegibles aquéllas que contengan precios con las características establecidas en el Artículo 106 del Reglamento de la Ley N°9986?.</w:t>
            </w:r>
          </w:p>
        </w:tc>
        <w:tc>
          <w:tcPr>
            <w:tcW w:w="313" w:type="pct"/>
          </w:tcPr>
          <w:p w14:paraId="18904CC9"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72DE8280"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5D414D47"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2D3E8279"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5B9F0A6F" w14:textId="77777777" w:rsidTr="006F43E4">
        <w:trPr>
          <w:trHeight w:val="490"/>
        </w:trPr>
        <w:tc>
          <w:tcPr>
            <w:cnfStyle w:val="001000000000" w:firstRow="0" w:lastRow="0" w:firstColumn="1" w:lastColumn="0" w:oddVBand="0" w:evenVBand="0" w:oddHBand="0" w:evenHBand="0" w:firstRowFirstColumn="0" w:firstRowLastColumn="0" w:lastRowFirstColumn="0" w:lastRowLastColumn="0"/>
            <w:tcW w:w="2231" w:type="pct"/>
          </w:tcPr>
          <w:p w14:paraId="35C8A6CB"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CR"/>
              </w:rPr>
              <w:t>¿Identifica con claridad el plazo de vigencia de la oferta? (Art. 119 Reglamento Ley N°9986).</w:t>
            </w:r>
          </w:p>
        </w:tc>
        <w:tc>
          <w:tcPr>
            <w:tcW w:w="313" w:type="pct"/>
          </w:tcPr>
          <w:p w14:paraId="6DB39CCD"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1E934342"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12880C47"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084BB658"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1CC72F1E" w14:textId="77777777" w:rsidTr="006F43E4">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2231" w:type="pct"/>
          </w:tcPr>
          <w:p w14:paraId="7F603490"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 xml:space="preserve">En caso de que un participante considere que existe información confidencial, dentro de los cinco días hábiles siguientes a la advertencia de confidencialidad, mediante </w:t>
            </w:r>
            <w:r w:rsidRPr="00A333F5">
              <w:rPr>
                <w:rFonts w:eastAsia="Calibri" w:cstheme="minorHAnsi"/>
                <w:b w:val="0"/>
                <w:bCs w:val="0"/>
                <w:color w:val="000000"/>
                <w:sz w:val="24"/>
                <w:szCs w:val="24"/>
                <w:lang w:val="es-CR"/>
              </w:rPr>
              <w:lastRenderedPageBreak/>
              <w:t>acto motivado suscrito por funcionario competente y con apego al principio de transparencia, la Administración deberá señalar si procede o no la declaratoria de confidencialidad, todo según lo establecido en el Artículo 15 de la Ley N°9986 y el Artículo 30 del Reglamento a dicha Ley.</w:t>
            </w:r>
          </w:p>
        </w:tc>
        <w:tc>
          <w:tcPr>
            <w:tcW w:w="313" w:type="pct"/>
          </w:tcPr>
          <w:p w14:paraId="28CD7C43"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6E24EB3B"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19612EEC"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4051CA35"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7BD8854C" w14:textId="77777777" w:rsidTr="006F43E4">
        <w:trPr>
          <w:trHeight w:val="750"/>
        </w:trPr>
        <w:tc>
          <w:tcPr>
            <w:cnfStyle w:val="001000000000" w:firstRow="0" w:lastRow="0" w:firstColumn="1" w:lastColumn="0" w:oddVBand="0" w:evenVBand="0" w:oddHBand="0" w:evenHBand="0" w:firstRowFirstColumn="0" w:firstRowLastColumn="0" w:lastRowFirstColumn="0" w:lastRowLastColumn="0"/>
            <w:tcW w:w="2231" w:type="pct"/>
          </w:tcPr>
          <w:p w14:paraId="20675FE7"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CR"/>
              </w:rPr>
              <w:t>¿La oferta está debidamente firmada por quien tenga poder para ello?</w:t>
            </w:r>
          </w:p>
          <w:p w14:paraId="38D6D7C4" w14:textId="77777777" w:rsidR="00A502A0" w:rsidRPr="00A333F5" w:rsidRDefault="00A502A0">
            <w:pPr>
              <w:widowControl w:val="0"/>
              <w:contextualSpacing w:val="0"/>
              <w:jc w:val="both"/>
              <w:rPr>
                <w:rFonts w:cstheme="minorHAnsi"/>
                <w:lang w:val="es-CR"/>
              </w:rPr>
            </w:pPr>
          </w:p>
        </w:tc>
        <w:tc>
          <w:tcPr>
            <w:tcW w:w="313" w:type="pct"/>
          </w:tcPr>
          <w:p w14:paraId="2520528C"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640B7E41"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27F762B3"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589233C2"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0772EEF8" w14:textId="77777777" w:rsidTr="006F43E4">
        <w:trPr>
          <w:cnfStyle w:val="000000100000" w:firstRow="0" w:lastRow="0" w:firstColumn="0" w:lastColumn="0" w:oddVBand="0" w:evenVBand="0" w:oddHBand="1" w:evenHBand="0" w:firstRowFirstColumn="0" w:firstRowLastColumn="0" w:lastRowFirstColumn="0" w:lastRowLastColumn="0"/>
          <w:trHeight w:val="750"/>
        </w:trPr>
        <w:tc>
          <w:tcPr>
            <w:cnfStyle w:val="001000000000" w:firstRow="0" w:lastRow="0" w:firstColumn="1" w:lastColumn="0" w:oddVBand="0" w:evenVBand="0" w:oddHBand="0" w:evenHBand="0" w:firstRowFirstColumn="0" w:firstRowLastColumn="0" w:lastRowFirstColumn="0" w:lastRowLastColumn="0"/>
            <w:tcW w:w="2231" w:type="pct"/>
          </w:tcPr>
          <w:p w14:paraId="3C7E9D0F"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ES"/>
              </w:rPr>
              <w:t>¿La Junta elaboró el cuadro comparativo de análisis de las ofertas? (Art. 136 Reglamento Ley N°9986).</w:t>
            </w:r>
          </w:p>
        </w:tc>
        <w:tc>
          <w:tcPr>
            <w:tcW w:w="313" w:type="pct"/>
          </w:tcPr>
          <w:p w14:paraId="605C2A61"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4AD2B496"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1066C72C"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51F38CF2"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22932601" w14:textId="77777777" w:rsidTr="006F43E4">
        <w:trPr>
          <w:trHeight w:val="456"/>
        </w:trPr>
        <w:tc>
          <w:tcPr>
            <w:cnfStyle w:val="001000000000" w:firstRow="0" w:lastRow="0" w:firstColumn="1" w:lastColumn="0" w:oddVBand="0" w:evenVBand="0" w:oddHBand="0" w:evenHBand="0" w:firstRowFirstColumn="0" w:firstRowLastColumn="0" w:lastRowFirstColumn="0" w:lastRowLastColumn="0"/>
            <w:tcW w:w="2231" w:type="pct"/>
          </w:tcPr>
          <w:p w14:paraId="5F464568" w14:textId="77777777" w:rsidR="00A502A0" w:rsidRPr="00A333F5" w:rsidRDefault="00A502A0">
            <w:pPr>
              <w:widowControl w:val="0"/>
              <w:contextualSpacing w:val="0"/>
              <w:jc w:val="both"/>
              <w:rPr>
                <w:rFonts w:cstheme="minorHAnsi"/>
                <w:b w:val="0"/>
                <w:bCs w:val="0"/>
                <w:color w:val="000000"/>
                <w:sz w:val="24"/>
                <w:szCs w:val="24"/>
                <w:lang w:val="es-CR"/>
              </w:rPr>
            </w:pPr>
          </w:p>
        </w:tc>
        <w:tc>
          <w:tcPr>
            <w:tcW w:w="313" w:type="pct"/>
          </w:tcPr>
          <w:p w14:paraId="25E19228"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59B0C72C"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6DD5B720"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3ADF4627"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502A0" w:rsidRPr="005F0468" w14:paraId="7B793FB2" w14:textId="77777777" w:rsidTr="006F43E4">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5000" w:type="pct"/>
            <w:gridSpan w:val="5"/>
          </w:tcPr>
          <w:p w14:paraId="0225B40E" w14:textId="77777777" w:rsidR="00A502A0" w:rsidRPr="00A333F5" w:rsidRDefault="00000000">
            <w:pPr>
              <w:widowControl w:val="0"/>
              <w:contextualSpacing w:val="0"/>
              <w:jc w:val="both"/>
              <w:rPr>
                <w:rFonts w:eastAsia="Calibri" w:cstheme="minorHAnsi"/>
                <w:color w:val="000000"/>
                <w:sz w:val="32"/>
                <w:szCs w:val="32"/>
                <w:shd w:val="clear" w:color="auto" w:fill="729FCF"/>
                <w:lang w:val="es-CR"/>
              </w:rPr>
            </w:pPr>
            <w:r w:rsidRPr="00A333F5">
              <w:rPr>
                <w:rFonts w:eastAsia="Calibri" w:cstheme="minorHAnsi"/>
                <w:color w:val="000000"/>
                <w:sz w:val="32"/>
                <w:szCs w:val="32"/>
                <w:shd w:val="clear" w:color="auto" w:fill="729FCF"/>
                <w:lang w:val="es-CR"/>
              </w:rPr>
              <w:t>SOBRE EL ACTO FINAL DEL PROCEDIMIENTO</w:t>
            </w:r>
          </w:p>
        </w:tc>
      </w:tr>
      <w:tr w:rsidR="00A333F5" w:rsidRPr="005F0468" w14:paraId="14E8421D" w14:textId="77777777" w:rsidTr="006F43E4">
        <w:trPr>
          <w:trHeight w:val="450"/>
        </w:trPr>
        <w:tc>
          <w:tcPr>
            <w:cnfStyle w:val="001000000000" w:firstRow="0" w:lastRow="0" w:firstColumn="1" w:lastColumn="0" w:oddVBand="0" w:evenVBand="0" w:oddHBand="0" w:evenHBand="0" w:firstRowFirstColumn="0" w:firstRowLastColumn="0" w:lastRowFirstColumn="0" w:lastRowLastColumn="0"/>
            <w:tcW w:w="2231" w:type="pct"/>
          </w:tcPr>
          <w:p w14:paraId="758D7BDC"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ES"/>
              </w:rPr>
              <w:t>¿</w:t>
            </w:r>
            <w:r w:rsidRPr="00A333F5">
              <w:rPr>
                <w:rFonts w:eastAsia="Calibri" w:cstheme="minorHAnsi"/>
                <w:b w:val="0"/>
                <w:bCs w:val="0"/>
                <w:color w:val="000000"/>
                <w:sz w:val="24"/>
                <w:szCs w:val="24"/>
                <w:lang w:val="es-CR"/>
              </w:rPr>
              <w:t xml:space="preserve">La Junta cuando vaya a dictar el acto final, ya sea una adjudicación, declaratoria de desierto o de infructuoso, el cual consistió en una decisión informada de la persona u órgano que lo adopte, verificó que sea motivada en criterios técnicos y jurídicos? En casos excepcionales, por acto motivado, se podrá prorrogar hasta por un plazo igual al de recibir ofertas (Art. 51 Ley N°9986 y </w:t>
            </w:r>
            <w:r w:rsidRPr="00A333F5">
              <w:rPr>
                <w:rFonts w:cstheme="minorHAnsi"/>
                <w:b w:val="0"/>
                <w:bCs w:val="0"/>
                <w:color w:val="000000"/>
                <w:sz w:val="24"/>
                <w:szCs w:val="24"/>
                <w:lang w:val="es-ES"/>
              </w:rPr>
              <w:t>Art. 139, 140 Reglamento Ley N°9986).</w:t>
            </w:r>
            <w:r w:rsidRPr="00A333F5">
              <w:rPr>
                <w:rFonts w:eastAsia="Calibri" w:cstheme="minorHAnsi"/>
                <w:b w:val="0"/>
                <w:bCs w:val="0"/>
                <w:color w:val="000000"/>
                <w:sz w:val="24"/>
                <w:szCs w:val="24"/>
                <w:lang w:val="es-CR"/>
              </w:rPr>
              <w:t xml:space="preserve"> )</w:t>
            </w:r>
          </w:p>
          <w:p w14:paraId="4FD5A2ED" w14:textId="77777777" w:rsidR="00A502A0" w:rsidRPr="00A333F5" w:rsidRDefault="00A502A0">
            <w:pPr>
              <w:widowControl w:val="0"/>
              <w:contextualSpacing w:val="0"/>
              <w:jc w:val="both"/>
              <w:rPr>
                <w:rFonts w:eastAsia="Calibri" w:cstheme="minorHAnsi"/>
                <w:b w:val="0"/>
                <w:bCs w:val="0"/>
                <w:color w:val="000000"/>
                <w:sz w:val="24"/>
                <w:szCs w:val="24"/>
                <w:lang w:val="es-CR"/>
              </w:rPr>
            </w:pPr>
          </w:p>
        </w:tc>
        <w:tc>
          <w:tcPr>
            <w:tcW w:w="313" w:type="pct"/>
          </w:tcPr>
          <w:p w14:paraId="51D84F9D" w14:textId="77777777" w:rsidR="00A502A0" w:rsidRPr="00A333F5" w:rsidRDefault="00A502A0">
            <w:pPr>
              <w:widowControl w:val="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341" w:type="pct"/>
          </w:tcPr>
          <w:p w14:paraId="72731AFD" w14:textId="77777777" w:rsidR="00A502A0" w:rsidRPr="00A333F5" w:rsidRDefault="00A502A0">
            <w:pPr>
              <w:widowControl w:val="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337" w:type="pct"/>
          </w:tcPr>
          <w:p w14:paraId="44DF5DC3" w14:textId="77777777" w:rsidR="00A502A0" w:rsidRPr="00A333F5" w:rsidRDefault="00A502A0">
            <w:pPr>
              <w:widowControl w:val="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1778" w:type="pct"/>
          </w:tcPr>
          <w:p w14:paraId="481CD370" w14:textId="77777777" w:rsidR="00A502A0" w:rsidRPr="00A333F5" w:rsidRDefault="00A502A0">
            <w:pPr>
              <w:widowControl w:val="0"/>
              <w:contextualSpacing w:val="0"/>
              <w:jc w:val="both"/>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r>
      <w:tr w:rsidR="00A333F5" w:rsidRPr="00A333F5" w14:paraId="205C9724" w14:textId="77777777" w:rsidTr="006F43E4">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2231" w:type="pct"/>
          </w:tcPr>
          <w:p w14:paraId="2D3CFE85"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CR"/>
              </w:rPr>
              <w:t>¿Se comunicó a los oferentes el acto de adjudicación? (</w:t>
            </w:r>
            <w:r w:rsidRPr="00A333F5">
              <w:rPr>
                <w:rFonts w:cstheme="minorHAnsi"/>
                <w:b w:val="0"/>
                <w:bCs w:val="0"/>
                <w:color w:val="000000"/>
                <w:sz w:val="24"/>
                <w:szCs w:val="24"/>
                <w:lang w:val="es-ES"/>
              </w:rPr>
              <w:t>Art. 141 Reglamento Ley N°9986).</w:t>
            </w:r>
          </w:p>
        </w:tc>
        <w:tc>
          <w:tcPr>
            <w:tcW w:w="313" w:type="pct"/>
          </w:tcPr>
          <w:p w14:paraId="17FCFFB2"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5FEA1F29"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33BA5D62"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0F9D4B40"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3300A8C5" w14:textId="77777777" w:rsidTr="006F43E4">
        <w:trPr>
          <w:trHeight w:val="450"/>
        </w:trPr>
        <w:tc>
          <w:tcPr>
            <w:cnfStyle w:val="001000000000" w:firstRow="0" w:lastRow="0" w:firstColumn="1" w:lastColumn="0" w:oddVBand="0" w:evenVBand="0" w:oddHBand="0" w:evenHBand="0" w:firstRowFirstColumn="0" w:firstRowLastColumn="0" w:lastRowFirstColumn="0" w:lastRowLastColumn="0"/>
            <w:tcW w:w="2231" w:type="pct"/>
          </w:tcPr>
          <w:p w14:paraId="1B1EFF18"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CR"/>
              </w:rPr>
              <w:t>¿Se comunicó a los oferentes el acto de adjudicación en firme? (</w:t>
            </w:r>
            <w:r w:rsidRPr="00A333F5">
              <w:rPr>
                <w:rFonts w:cstheme="minorHAnsi"/>
                <w:b w:val="0"/>
                <w:bCs w:val="0"/>
                <w:color w:val="000000"/>
                <w:sz w:val="24"/>
                <w:szCs w:val="24"/>
                <w:lang w:val="es-ES"/>
              </w:rPr>
              <w:t>Art. 141 Reglamento Ley N°9986).</w:t>
            </w:r>
          </w:p>
          <w:p w14:paraId="0F2D0C58" w14:textId="77777777" w:rsidR="00A502A0" w:rsidRPr="00A333F5" w:rsidRDefault="00A502A0">
            <w:pPr>
              <w:widowControl w:val="0"/>
              <w:contextualSpacing w:val="0"/>
              <w:jc w:val="both"/>
              <w:rPr>
                <w:rFonts w:cstheme="minorHAnsi"/>
                <w:b w:val="0"/>
                <w:bCs w:val="0"/>
                <w:color w:val="000000"/>
                <w:sz w:val="24"/>
                <w:szCs w:val="24"/>
                <w:lang w:val="es-CR"/>
              </w:rPr>
            </w:pPr>
          </w:p>
        </w:tc>
        <w:tc>
          <w:tcPr>
            <w:tcW w:w="313" w:type="pct"/>
          </w:tcPr>
          <w:p w14:paraId="4E3F5087"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6E012C99"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3E18D674"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59E7F722"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6353A6F6" w14:textId="77777777" w:rsidTr="006F43E4">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2231" w:type="pct"/>
          </w:tcPr>
          <w:p w14:paraId="3B576A1A"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ES"/>
              </w:rPr>
              <w:t>¿</w:t>
            </w:r>
            <w:r w:rsidRPr="00A333F5">
              <w:rPr>
                <w:rFonts w:eastAsia="Calibri" w:cstheme="minorHAnsi"/>
                <w:b w:val="0"/>
                <w:bCs w:val="0"/>
                <w:color w:val="000000"/>
                <w:sz w:val="24"/>
                <w:szCs w:val="24"/>
                <w:lang w:val="es-CR"/>
              </w:rPr>
              <w:t xml:space="preserve">Si transcurrido el plazo de seis meses, contado a partir del vencimiento de la prórroga, no se ha emitido el primer acto </w:t>
            </w:r>
            <w:r w:rsidRPr="00A333F5">
              <w:rPr>
                <w:rFonts w:eastAsia="Calibri" w:cstheme="minorHAnsi"/>
                <w:b w:val="0"/>
                <w:bCs w:val="0"/>
                <w:color w:val="000000"/>
                <w:sz w:val="24"/>
                <w:szCs w:val="24"/>
                <w:lang w:val="es-CR"/>
              </w:rPr>
              <w:lastRenderedPageBreak/>
              <w:t xml:space="preserve">final, la Junta operó la caducidad del procedimiento? (Art. 51 Ley N°9986 y </w:t>
            </w:r>
            <w:r w:rsidRPr="00A333F5">
              <w:rPr>
                <w:rFonts w:cstheme="minorHAnsi"/>
                <w:b w:val="0"/>
                <w:bCs w:val="0"/>
                <w:color w:val="000000"/>
                <w:sz w:val="24"/>
                <w:szCs w:val="24"/>
                <w:lang w:val="es-ES"/>
              </w:rPr>
              <w:t>Art. 140 Reglamento Ley N°9986).</w:t>
            </w:r>
          </w:p>
          <w:p w14:paraId="238E4DCD" w14:textId="77777777" w:rsidR="00A502A0" w:rsidRPr="00A333F5" w:rsidRDefault="00A502A0">
            <w:pPr>
              <w:widowControl w:val="0"/>
              <w:contextualSpacing w:val="0"/>
              <w:jc w:val="both"/>
              <w:rPr>
                <w:rFonts w:eastAsia="Calibri" w:cstheme="minorHAnsi"/>
                <w:b w:val="0"/>
                <w:bCs w:val="0"/>
                <w:color w:val="000000"/>
                <w:sz w:val="24"/>
                <w:szCs w:val="24"/>
                <w:lang w:val="es-CR"/>
              </w:rPr>
            </w:pPr>
          </w:p>
        </w:tc>
        <w:tc>
          <w:tcPr>
            <w:tcW w:w="313" w:type="pct"/>
          </w:tcPr>
          <w:p w14:paraId="254B6999" w14:textId="77777777" w:rsidR="00A502A0" w:rsidRPr="00A333F5" w:rsidRDefault="00A502A0">
            <w:pPr>
              <w:widowControl w:val="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341" w:type="pct"/>
          </w:tcPr>
          <w:p w14:paraId="591EC7EE" w14:textId="77777777" w:rsidR="00A502A0" w:rsidRPr="00A333F5" w:rsidRDefault="00A502A0">
            <w:pPr>
              <w:widowControl w:val="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337" w:type="pct"/>
          </w:tcPr>
          <w:p w14:paraId="0CE8DBE4" w14:textId="77777777" w:rsidR="00A502A0" w:rsidRPr="00A333F5" w:rsidRDefault="00A502A0">
            <w:pPr>
              <w:widowControl w:val="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1778" w:type="pct"/>
          </w:tcPr>
          <w:p w14:paraId="5C4878EB" w14:textId="77777777" w:rsidR="00A502A0" w:rsidRPr="00A333F5" w:rsidRDefault="00A502A0">
            <w:pPr>
              <w:widowControl w:val="0"/>
              <w:contextualSpacing w:val="0"/>
              <w:jc w:val="both"/>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r>
      <w:tr w:rsidR="00A333F5" w:rsidRPr="005F0468" w14:paraId="4CCCD55D" w14:textId="77777777" w:rsidTr="006F43E4">
        <w:trPr>
          <w:trHeight w:val="450"/>
        </w:trPr>
        <w:tc>
          <w:tcPr>
            <w:cnfStyle w:val="001000000000" w:firstRow="0" w:lastRow="0" w:firstColumn="1" w:lastColumn="0" w:oddVBand="0" w:evenVBand="0" w:oddHBand="0" w:evenHBand="0" w:firstRowFirstColumn="0" w:firstRowLastColumn="0" w:lastRowFirstColumn="0" w:lastRowLastColumn="0"/>
            <w:tcW w:w="2231" w:type="pct"/>
          </w:tcPr>
          <w:p w14:paraId="1B39122C"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ES"/>
              </w:rPr>
              <w:t>¿</w:t>
            </w:r>
            <w:r w:rsidRPr="00A333F5">
              <w:rPr>
                <w:rFonts w:eastAsia="Calibri" w:cstheme="minorHAnsi"/>
                <w:b w:val="0"/>
                <w:bCs w:val="0"/>
                <w:color w:val="000000"/>
                <w:sz w:val="24"/>
                <w:szCs w:val="24"/>
                <w:lang w:val="es-CR"/>
              </w:rPr>
              <w:t xml:space="preserve">Si la Junta va a revocar el acto final que no haya adquirido su firmeza, se atendió lo establecido en el Artículo 51 de la Ley N°9986 y en los </w:t>
            </w:r>
            <w:r w:rsidRPr="00A333F5">
              <w:rPr>
                <w:rFonts w:cstheme="minorHAnsi"/>
                <w:b w:val="0"/>
                <w:bCs w:val="0"/>
                <w:color w:val="000000"/>
                <w:sz w:val="24"/>
                <w:szCs w:val="24"/>
                <w:lang w:val="es-ES"/>
              </w:rPr>
              <w:t>Artículos 140 y 142 del Reglamento de la Ley N°9986</w:t>
            </w:r>
            <w:r w:rsidRPr="00A333F5">
              <w:rPr>
                <w:rFonts w:eastAsia="Calibri" w:cstheme="minorHAnsi"/>
                <w:b w:val="0"/>
                <w:bCs w:val="0"/>
                <w:color w:val="000000"/>
                <w:sz w:val="24"/>
                <w:szCs w:val="24"/>
                <w:lang w:val="es-CR"/>
              </w:rPr>
              <w:t>?</w:t>
            </w:r>
          </w:p>
          <w:p w14:paraId="777ADD8D" w14:textId="77777777" w:rsidR="00A502A0" w:rsidRPr="00A333F5" w:rsidRDefault="00A502A0">
            <w:pPr>
              <w:widowControl w:val="0"/>
              <w:contextualSpacing w:val="0"/>
              <w:jc w:val="both"/>
              <w:rPr>
                <w:rFonts w:eastAsia="Calibri" w:cstheme="minorHAnsi"/>
                <w:b w:val="0"/>
                <w:bCs w:val="0"/>
                <w:color w:val="000000"/>
                <w:sz w:val="24"/>
                <w:szCs w:val="24"/>
                <w:lang w:val="es-CR"/>
              </w:rPr>
            </w:pPr>
          </w:p>
        </w:tc>
        <w:tc>
          <w:tcPr>
            <w:tcW w:w="313" w:type="pct"/>
          </w:tcPr>
          <w:p w14:paraId="3F925392" w14:textId="77777777" w:rsidR="00A502A0" w:rsidRPr="00A333F5" w:rsidRDefault="00A502A0">
            <w:pPr>
              <w:widowControl w:val="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341" w:type="pct"/>
          </w:tcPr>
          <w:p w14:paraId="6B9CF0DD" w14:textId="77777777" w:rsidR="00A502A0" w:rsidRPr="00A333F5" w:rsidRDefault="00A502A0">
            <w:pPr>
              <w:widowControl w:val="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337" w:type="pct"/>
          </w:tcPr>
          <w:p w14:paraId="7ED12C8B" w14:textId="77777777" w:rsidR="00A502A0" w:rsidRPr="00A333F5" w:rsidRDefault="00A502A0">
            <w:pPr>
              <w:widowControl w:val="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1778" w:type="pct"/>
          </w:tcPr>
          <w:p w14:paraId="39A6BDD1" w14:textId="77777777" w:rsidR="00A502A0" w:rsidRPr="00A333F5" w:rsidRDefault="00A502A0">
            <w:pPr>
              <w:widowControl w:val="0"/>
              <w:contextualSpacing w:val="0"/>
              <w:jc w:val="both"/>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r>
      <w:tr w:rsidR="00A333F5" w:rsidRPr="005F0468" w14:paraId="7AE384DE" w14:textId="77777777" w:rsidTr="006F43E4">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2231" w:type="pct"/>
          </w:tcPr>
          <w:p w14:paraId="692233D7"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ES"/>
              </w:rPr>
              <w:t>¿</w:t>
            </w:r>
            <w:r w:rsidRPr="00A333F5">
              <w:rPr>
                <w:rFonts w:eastAsia="Calibri" w:cstheme="minorHAnsi"/>
                <w:b w:val="0"/>
                <w:bCs w:val="0"/>
                <w:color w:val="000000"/>
                <w:sz w:val="24"/>
                <w:szCs w:val="24"/>
                <w:lang w:val="es-CR"/>
              </w:rPr>
              <w:t>Si la Junta va a readjudicar de forma inmediata la contratación derivada de la declaratoria de insubsistencia del concurso, debe verificar que sea porque el adjudicatario no otorgue la garantía de cumplimiento a plena satisfacción, no presente el presupuesto detallado en el plazo estipulado en el artículo 42 o cuando notificado no suscriba el contrato y se atienda lo establecido en el Artículo 52 de la Ley N°9986?</w:t>
            </w:r>
          </w:p>
          <w:p w14:paraId="602B9DE3" w14:textId="77777777" w:rsidR="00A502A0" w:rsidRPr="00A333F5" w:rsidRDefault="00A502A0">
            <w:pPr>
              <w:widowControl w:val="0"/>
              <w:contextualSpacing w:val="0"/>
              <w:jc w:val="both"/>
              <w:rPr>
                <w:rFonts w:eastAsia="Calibri" w:cstheme="minorHAnsi"/>
                <w:b w:val="0"/>
                <w:bCs w:val="0"/>
                <w:color w:val="000000"/>
                <w:sz w:val="24"/>
                <w:szCs w:val="24"/>
                <w:lang w:val="es-CR"/>
              </w:rPr>
            </w:pPr>
          </w:p>
        </w:tc>
        <w:tc>
          <w:tcPr>
            <w:tcW w:w="313" w:type="pct"/>
          </w:tcPr>
          <w:p w14:paraId="0455050E" w14:textId="77777777" w:rsidR="00A502A0" w:rsidRPr="00A333F5" w:rsidRDefault="00A502A0">
            <w:pPr>
              <w:widowControl w:val="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341" w:type="pct"/>
          </w:tcPr>
          <w:p w14:paraId="4CAF99AA" w14:textId="77777777" w:rsidR="00A502A0" w:rsidRPr="00A333F5" w:rsidRDefault="00A502A0">
            <w:pPr>
              <w:widowControl w:val="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337" w:type="pct"/>
          </w:tcPr>
          <w:p w14:paraId="07A6F5B7" w14:textId="77777777" w:rsidR="00A502A0" w:rsidRPr="00A333F5" w:rsidRDefault="00A502A0">
            <w:pPr>
              <w:widowControl w:val="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1778" w:type="pct"/>
          </w:tcPr>
          <w:p w14:paraId="2B2D10A0" w14:textId="77777777" w:rsidR="00A502A0" w:rsidRPr="00A333F5" w:rsidRDefault="00A502A0">
            <w:pPr>
              <w:widowControl w:val="0"/>
              <w:contextualSpacing w:val="0"/>
              <w:jc w:val="both"/>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r>
      <w:tr w:rsidR="00A333F5" w:rsidRPr="005F0468" w14:paraId="2499F282" w14:textId="77777777" w:rsidTr="006F43E4">
        <w:trPr>
          <w:trHeight w:val="450"/>
        </w:trPr>
        <w:tc>
          <w:tcPr>
            <w:cnfStyle w:val="001000000000" w:firstRow="0" w:lastRow="0" w:firstColumn="1" w:lastColumn="0" w:oddVBand="0" w:evenVBand="0" w:oddHBand="0" w:evenHBand="0" w:firstRowFirstColumn="0" w:firstRowLastColumn="0" w:lastRowFirstColumn="0" w:lastRowLastColumn="0"/>
            <w:tcW w:w="2231" w:type="pct"/>
          </w:tcPr>
          <w:p w14:paraId="056D2214"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ES"/>
              </w:rPr>
              <w:t>¿</w:t>
            </w:r>
            <w:r w:rsidRPr="00A333F5">
              <w:rPr>
                <w:rFonts w:eastAsia="Calibri" w:cstheme="minorHAnsi"/>
                <w:b w:val="0"/>
                <w:bCs w:val="0"/>
                <w:color w:val="000000"/>
                <w:sz w:val="24"/>
                <w:szCs w:val="24"/>
                <w:lang w:val="es-CR"/>
              </w:rPr>
              <w:t>Si la Junta va a resolver el contrato de suministro de bienes o servicios por motivo de incumplimiento grave imputable al contratista, verificó que se atienda lo establecido en los Artículos 53, 113 y 114 y para el caso de nueva adjudicación de obra lo señalado en el Artículo 54 de la Ley N°9986?</w:t>
            </w:r>
          </w:p>
        </w:tc>
        <w:tc>
          <w:tcPr>
            <w:tcW w:w="313" w:type="pct"/>
          </w:tcPr>
          <w:p w14:paraId="46C0FC42" w14:textId="77777777" w:rsidR="00A502A0" w:rsidRPr="00A333F5" w:rsidRDefault="00A502A0">
            <w:pPr>
              <w:widowControl w:val="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341" w:type="pct"/>
          </w:tcPr>
          <w:p w14:paraId="749A4325" w14:textId="77777777" w:rsidR="00A502A0" w:rsidRPr="00A333F5" w:rsidRDefault="00A502A0">
            <w:pPr>
              <w:widowControl w:val="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337" w:type="pct"/>
          </w:tcPr>
          <w:p w14:paraId="5D0ED41B" w14:textId="77777777" w:rsidR="00A502A0" w:rsidRPr="00A333F5" w:rsidRDefault="00A502A0">
            <w:pPr>
              <w:widowControl w:val="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1778" w:type="pct"/>
          </w:tcPr>
          <w:p w14:paraId="1CEBFEC8" w14:textId="77777777" w:rsidR="00A502A0" w:rsidRPr="00A333F5" w:rsidRDefault="00A502A0">
            <w:pPr>
              <w:widowControl w:val="0"/>
              <w:contextualSpacing w:val="0"/>
              <w:jc w:val="both"/>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r>
      <w:tr w:rsidR="00A333F5" w:rsidRPr="005F0468" w14:paraId="1EA90E57" w14:textId="77777777" w:rsidTr="006F43E4">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2231" w:type="pct"/>
          </w:tcPr>
          <w:p w14:paraId="40F93361"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CR"/>
              </w:rPr>
              <w:t>¿La Junta en caso de haber recibido recursos de apelación o revocatoria en contra del acto de adjudicación, el que declare desierto o declare infructuoso el concurso, los atendió considerando lo establecido en la Ley N°9986 y su Reglamento?</w:t>
            </w:r>
          </w:p>
        </w:tc>
        <w:tc>
          <w:tcPr>
            <w:tcW w:w="313" w:type="pct"/>
          </w:tcPr>
          <w:p w14:paraId="3334D506" w14:textId="77777777" w:rsidR="00A502A0" w:rsidRPr="00A333F5" w:rsidRDefault="00A502A0">
            <w:pPr>
              <w:widowControl w:val="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341" w:type="pct"/>
          </w:tcPr>
          <w:p w14:paraId="0CDD1748" w14:textId="77777777" w:rsidR="00A502A0" w:rsidRPr="00A333F5" w:rsidRDefault="00A502A0">
            <w:pPr>
              <w:widowControl w:val="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337" w:type="pct"/>
          </w:tcPr>
          <w:p w14:paraId="18D2DF4E" w14:textId="77777777" w:rsidR="00A502A0" w:rsidRPr="00A333F5" w:rsidRDefault="00A502A0">
            <w:pPr>
              <w:widowControl w:val="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1778" w:type="pct"/>
          </w:tcPr>
          <w:p w14:paraId="6CCD6503" w14:textId="77777777" w:rsidR="00A502A0" w:rsidRPr="00A333F5" w:rsidRDefault="00A502A0">
            <w:pPr>
              <w:widowControl w:val="0"/>
              <w:contextualSpacing w:val="0"/>
              <w:jc w:val="both"/>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r>
      <w:tr w:rsidR="00A333F5" w:rsidRPr="005F0468" w14:paraId="68D81C20" w14:textId="77777777" w:rsidTr="006F43E4">
        <w:trPr>
          <w:trHeight w:val="450"/>
        </w:trPr>
        <w:tc>
          <w:tcPr>
            <w:cnfStyle w:val="001000000000" w:firstRow="0" w:lastRow="0" w:firstColumn="1" w:lastColumn="0" w:oddVBand="0" w:evenVBand="0" w:oddHBand="0" w:evenHBand="0" w:firstRowFirstColumn="0" w:firstRowLastColumn="0" w:lastRowFirstColumn="0" w:lastRowLastColumn="0"/>
            <w:tcW w:w="2231" w:type="pct"/>
          </w:tcPr>
          <w:p w14:paraId="5697E8F6"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CR"/>
              </w:rPr>
              <w:lastRenderedPageBreak/>
              <w:t>¿Si corresponde, la Junta verificó la condición de PYME de la empresa, por los medios que el Ministerio de Economía, Industria y Comercio disponga al efecto y las demás condiciones señaladas en el Artículo 74 del Reglamento a la Ley N°9986?</w:t>
            </w:r>
          </w:p>
        </w:tc>
        <w:tc>
          <w:tcPr>
            <w:tcW w:w="313" w:type="pct"/>
          </w:tcPr>
          <w:p w14:paraId="1CD0F88A" w14:textId="77777777" w:rsidR="00A502A0" w:rsidRPr="00A333F5" w:rsidRDefault="00A502A0">
            <w:pPr>
              <w:widowControl w:val="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341" w:type="pct"/>
          </w:tcPr>
          <w:p w14:paraId="17DB9170" w14:textId="77777777" w:rsidR="00A502A0" w:rsidRPr="00A333F5" w:rsidRDefault="00A502A0">
            <w:pPr>
              <w:widowControl w:val="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337" w:type="pct"/>
          </w:tcPr>
          <w:p w14:paraId="5D673E37" w14:textId="77777777" w:rsidR="00A502A0" w:rsidRPr="00A333F5" w:rsidRDefault="00A502A0">
            <w:pPr>
              <w:widowControl w:val="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1778" w:type="pct"/>
          </w:tcPr>
          <w:p w14:paraId="5CCABD96" w14:textId="77777777" w:rsidR="00A502A0" w:rsidRPr="00A333F5" w:rsidRDefault="00A502A0">
            <w:pPr>
              <w:widowControl w:val="0"/>
              <w:contextualSpacing w:val="0"/>
              <w:jc w:val="both"/>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r>
      <w:tr w:rsidR="00A333F5" w:rsidRPr="005F0468" w14:paraId="5A395507" w14:textId="77777777" w:rsidTr="006F43E4">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2231" w:type="pct"/>
          </w:tcPr>
          <w:p w14:paraId="45BBE266" w14:textId="77777777" w:rsidR="00A502A0" w:rsidRPr="00A333F5" w:rsidRDefault="00A502A0">
            <w:pPr>
              <w:widowControl w:val="0"/>
              <w:contextualSpacing w:val="0"/>
              <w:jc w:val="both"/>
              <w:rPr>
                <w:rFonts w:cstheme="minorHAnsi"/>
                <w:b w:val="0"/>
                <w:bCs w:val="0"/>
                <w:color w:val="000000"/>
                <w:sz w:val="24"/>
                <w:szCs w:val="24"/>
                <w:lang w:val="es-CR"/>
              </w:rPr>
            </w:pPr>
          </w:p>
        </w:tc>
        <w:tc>
          <w:tcPr>
            <w:tcW w:w="313" w:type="pct"/>
          </w:tcPr>
          <w:p w14:paraId="53E936AC" w14:textId="77777777" w:rsidR="00A502A0" w:rsidRPr="00A333F5" w:rsidRDefault="00A502A0">
            <w:pPr>
              <w:widowControl w:val="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341" w:type="pct"/>
          </w:tcPr>
          <w:p w14:paraId="34E35999" w14:textId="77777777" w:rsidR="00A502A0" w:rsidRPr="00A333F5" w:rsidRDefault="00A502A0">
            <w:pPr>
              <w:widowControl w:val="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337" w:type="pct"/>
          </w:tcPr>
          <w:p w14:paraId="10F118C1" w14:textId="77777777" w:rsidR="00A502A0" w:rsidRPr="00A333F5" w:rsidRDefault="00A502A0">
            <w:pPr>
              <w:widowControl w:val="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1778" w:type="pct"/>
          </w:tcPr>
          <w:p w14:paraId="0C4F533F" w14:textId="77777777" w:rsidR="00A502A0" w:rsidRPr="00A333F5" w:rsidRDefault="00A502A0">
            <w:pPr>
              <w:widowControl w:val="0"/>
              <w:contextualSpacing w:val="0"/>
              <w:jc w:val="both"/>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r>
      <w:tr w:rsidR="00A502A0" w:rsidRPr="005F0468" w14:paraId="1652BDCB" w14:textId="77777777" w:rsidTr="006F43E4">
        <w:trPr>
          <w:trHeight w:val="450"/>
        </w:trPr>
        <w:tc>
          <w:tcPr>
            <w:cnfStyle w:val="001000000000" w:firstRow="0" w:lastRow="0" w:firstColumn="1" w:lastColumn="0" w:oddVBand="0" w:evenVBand="0" w:oddHBand="0" w:evenHBand="0" w:firstRowFirstColumn="0" w:firstRowLastColumn="0" w:lastRowFirstColumn="0" w:lastRowLastColumn="0"/>
            <w:tcW w:w="5000" w:type="pct"/>
            <w:gridSpan w:val="5"/>
          </w:tcPr>
          <w:p w14:paraId="647FCFC6" w14:textId="77777777" w:rsidR="00A502A0" w:rsidRPr="00A333F5" w:rsidRDefault="00000000">
            <w:pPr>
              <w:widowControl w:val="0"/>
              <w:contextualSpacing w:val="0"/>
              <w:jc w:val="both"/>
              <w:rPr>
                <w:rFonts w:eastAsia="Calibri" w:cstheme="minorHAnsi"/>
                <w:color w:val="000000"/>
                <w:sz w:val="32"/>
                <w:szCs w:val="32"/>
                <w:shd w:val="clear" w:color="auto" w:fill="729FCF"/>
                <w:lang w:val="es-CR"/>
              </w:rPr>
            </w:pPr>
            <w:r w:rsidRPr="00A333F5">
              <w:rPr>
                <w:rFonts w:eastAsia="Calibri" w:cstheme="minorHAnsi"/>
                <w:color w:val="000000"/>
                <w:sz w:val="32"/>
                <w:szCs w:val="32"/>
                <w:shd w:val="clear" w:color="auto" w:fill="729FCF"/>
                <w:lang w:val="es-CR"/>
              </w:rPr>
              <w:t>SOBRE LA ORDEN DE COMPRA</w:t>
            </w:r>
          </w:p>
        </w:tc>
      </w:tr>
      <w:tr w:rsidR="00A333F5" w:rsidRPr="00A333F5" w14:paraId="42652C24" w14:textId="77777777" w:rsidTr="006F43E4">
        <w:trPr>
          <w:cnfStyle w:val="000000100000" w:firstRow="0" w:lastRow="0" w:firstColumn="0" w:lastColumn="0" w:oddVBand="0" w:evenVBand="0" w:oddHBand="1" w:evenHBand="0" w:firstRowFirstColumn="0" w:firstRowLastColumn="0" w:lastRowFirstColumn="0" w:lastRowLastColumn="0"/>
          <w:trHeight w:val="750"/>
        </w:trPr>
        <w:tc>
          <w:tcPr>
            <w:cnfStyle w:val="001000000000" w:firstRow="0" w:lastRow="0" w:firstColumn="1" w:lastColumn="0" w:oddVBand="0" w:evenVBand="0" w:oddHBand="0" w:evenHBand="0" w:firstRowFirstColumn="0" w:firstRowLastColumn="0" w:lastRowFirstColumn="0" w:lastRowLastColumn="0"/>
            <w:tcW w:w="2231" w:type="pct"/>
          </w:tcPr>
          <w:p w14:paraId="7F47C692" w14:textId="77777777" w:rsidR="00A502A0" w:rsidRPr="00A333F5" w:rsidRDefault="00000000">
            <w:pPr>
              <w:widowControl w:val="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El contrato administrativo u orden de compra contiene (</w:t>
            </w:r>
            <w:r w:rsidRPr="00A333F5">
              <w:rPr>
                <w:rFonts w:cstheme="minorHAnsi"/>
                <w:b w:val="0"/>
                <w:bCs w:val="0"/>
                <w:color w:val="000000"/>
                <w:sz w:val="24"/>
                <w:szCs w:val="24"/>
                <w:lang w:val="es-CR"/>
              </w:rPr>
              <w:t>Art. 74 Reglamento Ley N°9986)</w:t>
            </w:r>
          </w:p>
          <w:p w14:paraId="7F99C738" w14:textId="77777777" w:rsidR="00A502A0" w:rsidRPr="00A333F5" w:rsidRDefault="00A502A0">
            <w:pPr>
              <w:widowControl w:val="0"/>
              <w:contextualSpacing w:val="0"/>
              <w:jc w:val="both"/>
              <w:rPr>
                <w:rFonts w:cstheme="minorHAnsi"/>
                <w:b w:val="0"/>
                <w:bCs w:val="0"/>
                <w:color w:val="000000"/>
                <w:sz w:val="24"/>
                <w:szCs w:val="24"/>
                <w:lang w:val="es-CR"/>
              </w:rPr>
            </w:pPr>
          </w:p>
          <w:p w14:paraId="497CBD08" w14:textId="77777777" w:rsidR="00A502A0" w:rsidRPr="00A333F5" w:rsidRDefault="00000000">
            <w:pPr>
              <w:numPr>
                <w:ilvl w:val="0"/>
                <w:numId w:val="2"/>
              </w:numPr>
              <w:jc w:val="both"/>
              <w:rPr>
                <w:rFonts w:cstheme="minorHAnsi"/>
                <w:b w:val="0"/>
                <w:bCs w:val="0"/>
                <w:color w:val="000000"/>
                <w:sz w:val="24"/>
                <w:szCs w:val="24"/>
                <w:lang w:val="es-CR"/>
              </w:rPr>
            </w:pPr>
            <w:r w:rsidRPr="00A333F5">
              <w:rPr>
                <w:rFonts w:cstheme="minorHAnsi"/>
                <w:b w:val="0"/>
                <w:bCs w:val="0"/>
                <w:color w:val="000000"/>
                <w:sz w:val="24"/>
                <w:szCs w:val="24"/>
                <w:lang w:val="es-CR"/>
              </w:rPr>
              <w:t>Identificación del contratista adjudicado</w:t>
            </w:r>
          </w:p>
        </w:tc>
        <w:tc>
          <w:tcPr>
            <w:tcW w:w="313" w:type="pct"/>
          </w:tcPr>
          <w:p w14:paraId="516CC854"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554E11FC"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2F14D7B9"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4DA4B29E"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5EE45CB3" w14:textId="77777777" w:rsidTr="006F43E4">
        <w:trPr>
          <w:trHeight w:val="750"/>
        </w:trPr>
        <w:tc>
          <w:tcPr>
            <w:cnfStyle w:val="001000000000" w:firstRow="0" w:lastRow="0" w:firstColumn="1" w:lastColumn="0" w:oddVBand="0" w:evenVBand="0" w:oddHBand="0" w:evenHBand="0" w:firstRowFirstColumn="0" w:firstRowLastColumn="0" w:lastRowFirstColumn="0" w:lastRowLastColumn="0"/>
            <w:tcW w:w="2231" w:type="pct"/>
          </w:tcPr>
          <w:p w14:paraId="3E5B4BA0" w14:textId="77777777" w:rsidR="00A502A0" w:rsidRPr="00A333F5" w:rsidRDefault="00000000">
            <w:pPr>
              <w:pStyle w:val="Prrafodelista"/>
              <w:widowControl w:val="0"/>
              <w:numPr>
                <w:ilvl w:val="0"/>
                <w:numId w:val="2"/>
              </w:numPr>
              <w:spacing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Objeto contractual (obra, bien o servicio, y toda información necesaria para la correcta ejecución del contrato)</w:t>
            </w:r>
          </w:p>
        </w:tc>
        <w:tc>
          <w:tcPr>
            <w:tcW w:w="313" w:type="pct"/>
          </w:tcPr>
          <w:p w14:paraId="4F711E34"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41A08C01"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4727D768"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5E7F90D6"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160EFE46" w14:textId="77777777" w:rsidTr="006F43E4">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2231" w:type="pct"/>
          </w:tcPr>
          <w:p w14:paraId="79C51BA3" w14:textId="77777777" w:rsidR="00A502A0" w:rsidRPr="00A333F5" w:rsidRDefault="00000000">
            <w:pPr>
              <w:pStyle w:val="Prrafodelista"/>
              <w:widowControl w:val="0"/>
              <w:numPr>
                <w:ilvl w:val="0"/>
                <w:numId w:val="2"/>
              </w:numPr>
              <w:spacing w:after="0"/>
              <w:jc w:val="both"/>
              <w:rPr>
                <w:rFonts w:cstheme="minorHAnsi"/>
                <w:b w:val="0"/>
                <w:bCs w:val="0"/>
                <w:color w:val="000000"/>
                <w:sz w:val="24"/>
                <w:szCs w:val="24"/>
              </w:rPr>
            </w:pPr>
            <w:r w:rsidRPr="00A333F5">
              <w:rPr>
                <w:rFonts w:eastAsia="Calibri" w:cstheme="minorHAnsi"/>
                <w:b w:val="0"/>
                <w:bCs w:val="0"/>
                <w:color w:val="000000"/>
                <w:sz w:val="24"/>
                <w:szCs w:val="24"/>
                <w:lang w:val="es-CR"/>
              </w:rPr>
              <w:t xml:space="preserve">Monto </w:t>
            </w:r>
            <w:r w:rsidRPr="00A333F5">
              <w:rPr>
                <w:rFonts w:cstheme="minorHAnsi"/>
                <w:b w:val="0"/>
                <w:bCs w:val="0"/>
                <w:color w:val="000000"/>
                <w:sz w:val="24"/>
                <w:szCs w:val="24"/>
                <w:lang w:val="es-CR"/>
              </w:rPr>
              <w:t>del contrato</w:t>
            </w:r>
          </w:p>
        </w:tc>
        <w:tc>
          <w:tcPr>
            <w:tcW w:w="313" w:type="pct"/>
          </w:tcPr>
          <w:p w14:paraId="19C2298A"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48C04735"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13789F50"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1584787D"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367FD2A7" w14:textId="77777777" w:rsidTr="006F43E4">
        <w:trPr>
          <w:trHeight w:val="391"/>
        </w:trPr>
        <w:tc>
          <w:tcPr>
            <w:cnfStyle w:val="001000000000" w:firstRow="0" w:lastRow="0" w:firstColumn="1" w:lastColumn="0" w:oddVBand="0" w:evenVBand="0" w:oddHBand="0" w:evenHBand="0" w:firstRowFirstColumn="0" w:firstRowLastColumn="0" w:lastRowFirstColumn="0" w:lastRowLastColumn="0"/>
            <w:tcW w:w="2231" w:type="pct"/>
          </w:tcPr>
          <w:p w14:paraId="583D7302" w14:textId="77777777" w:rsidR="00A502A0" w:rsidRPr="00A333F5" w:rsidRDefault="00000000">
            <w:pPr>
              <w:numPr>
                <w:ilvl w:val="0"/>
                <w:numId w:val="2"/>
              </w:numPr>
              <w:jc w:val="both"/>
              <w:rPr>
                <w:rFonts w:cstheme="minorHAnsi"/>
                <w:b w:val="0"/>
                <w:bCs w:val="0"/>
                <w:color w:val="000000"/>
                <w:sz w:val="24"/>
                <w:szCs w:val="24"/>
                <w:lang w:val="es-CR"/>
              </w:rPr>
            </w:pPr>
            <w:r w:rsidRPr="00A333F5">
              <w:rPr>
                <w:rFonts w:cstheme="minorHAnsi"/>
                <w:b w:val="0"/>
                <w:bCs w:val="0"/>
                <w:color w:val="000000"/>
                <w:sz w:val="24"/>
                <w:szCs w:val="24"/>
                <w:lang w:val="es-CR"/>
              </w:rPr>
              <w:t xml:space="preserve">Plazo de entrega </w:t>
            </w:r>
          </w:p>
        </w:tc>
        <w:tc>
          <w:tcPr>
            <w:tcW w:w="313" w:type="pct"/>
          </w:tcPr>
          <w:p w14:paraId="4871FAAE"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57AAAEB7"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49FD8396"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1DADFAEB"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2756A06D" w14:textId="77777777" w:rsidTr="006F43E4">
        <w:trPr>
          <w:cnfStyle w:val="000000100000" w:firstRow="0" w:lastRow="0" w:firstColumn="0" w:lastColumn="0" w:oddVBand="0" w:evenVBand="0" w:oddHBand="1"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2231" w:type="pct"/>
          </w:tcPr>
          <w:p w14:paraId="60C11CDE" w14:textId="77777777" w:rsidR="00A502A0" w:rsidRPr="00A333F5" w:rsidRDefault="00000000">
            <w:pPr>
              <w:pStyle w:val="Prrafodelista"/>
              <w:widowControl w:val="0"/>
              <w:numPr>
                <w:ilvl w:val="0"/>
                <w:numId w:val="2"/>
              </w:numPr>
              <w:spacing w:after="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Cuenta con la fecha y las firmas de las dos partes</w:t>
            </w:r>
          </w:p>
        </w:tc>
        <w:tc>
          <w:tcPr>
            <w:tcW w:w="313" w:type="pct"/>
          </w:tcPr>
          <w:p w14:paraId="6B7D666F"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44CF9ED8"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6C0D9B4F"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610C138B"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224A9481" w14:textId="77777777" w:rsidTr="006F43E4">
        <w:trPr>
          <w:trHeight w:val="391"/>
        </w:trPr>
        <w:tc>
          <w:tcPr>
            <w:cnfStyle w:val="001000000000" w:firstRow="0" w:lastRow="0" w:firstColumn="1" w:lastColumn="0" w:oddVBand="0" w:evenVBand="0" w:oddHBand="0" w:evenHBand="0" w:firstRowFirstColumn="0" w:firstRowLastColumn="0" w:lastRowFirstColumn="0" w:lastRowLastColumn="0"/>
            <w:tcW w:w="2231" w:type="pct"/>
          </w:tcPr>
          <w:p w14:paraId="415542C6" w14:textId="77777777" w:rsidR="00A502A0" w:rsidRPr="00A333F5" w:rsidRDefault="00A502A0">
            <w:pPr>
              <w:jc w:val="both"/>
              <w:rPr>
                <w:rFonts w:cstheme="minorHAnsi"/>
                <w:b w:val="0"/>
                <w:bCs w:val="0"/>
                <w:color w:val="000000"/>
                <w:sz w:val="24"/>
                <w:szCs w:val="24"/>
                <w:lang w:val="es-CR"/>
              </w:rPr>
            </w:pPr>
          </w:p>
        </w:tc>
        <w:tc>
          <w:tcPr>
            <w:tcW w:w="313" w:type="pct"/>
          </w:tcPr>
          <w:p w14:paraId="7EEF8336"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4589B44A"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4ED65685"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0FC20BC7"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502A0" w:rsidRPr="005F0468" w14:paraId="241A1997" w14:textId="77777777" w:rsidTr="006F43E4">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5000" w:type="pct"/>
            <w:gridSpan w:val="5"/>
          </w:tcPr>
          <w:p w14:paraId="222FF015" w14:textId="77777777" w:rsidR="00A502A0" w:rsidRPr="00A333F5" w:rsidRDefault="00000000">
            <w:pPr>
              <w:widowControl w:val="0"/>
              <w:contextualSpacing w:val="0"/>
              <w:jc w:val="both"/>
              <w:rPr>
                <w:rFonts w:eastAsia="Calibri" w:cstheme="minorHAnsi"/>
                <w:color w:val="000000"/>
                <w:sz w:val="32"/>
                <w:szCs w:val="32"/>
                <w:shd w:val="clear" w:color="auto" w:fill="729FCF"/>
                <w:lang w:val="es-CR"/>
              </w:rPr>
            </w:pPr>
            <w:r w:rsidRPr="00A333F5">
              <w:rPr>
                <w:rFonts w:eastAsia="Calibri" w:cstheme="minorHAnsi"/>
                <w:color w:val="000000"/>
                <w:sz w:val="32"/>
                <w:szCs w:val="32"/>
                <w:shd w:val="clear" w:color="auto" w:fill="729FCF"/>
                <w:lang w:val="es-CR"/>
              </w:rPr>
              <w:t>SOBRE LA EJECUCIÓN DEL CONTRATO, LA RECEPCIÓN DEL BIEN O SERVICIO Y EL PAGO</w:t>
            </w:r>
          </w:p>
        </w:tc>
      </w:tr>
      <w:tr w:rsidR="00A333F5" w:rsidRPr="00A333F5" w14:paraId="29242677" w14:textId="77777777" w:rsidTr="006F43E4">
        <w:trPr>
          <w:trHeight w:val="1093"/>
        </w:trPr>
        <w:tc>
          <w:tcPr>
            <w:cnfStyle w:val="001000000000" w:firstRow="0" w:lastRow="0" w:firstColumn="1" w:lastColumn="0" w:oddVBand="0" w:evenVBand="0" w:oddHBand="0" w:evenHBand="0" w:firstRowFirstColumn="0" w:firstRowLastColumn="0" w:lastRowFirstColumn="0" w:lastRowLastColumn="0"/>
            <w:tcW w:w="2231" w:type="pct"/>
          </w:tcPr>
          <w:p w14:paraId="18548608" w14:textId="77777777" w:rsidR="00A502A0" w:rsidRPr="00A333F5" w:rsidRDefault="00A502A0">
            <w:pPr>
              <w:widowControl w:val="0"/>
              <w:contextualSpacing w:val="0"/>
              <w:jc w:val="both"/>
              <w:rPr>
                <w:rFonts w:eastAsia="Calibri" w:cstheme="minorHAnsi"/>
                <w:color w:val="1C1D1D"/>
                <w:lang w:val="es-ES"/>
              </w:rPr>
            </w:pPr>
          </w:p>
          <w:p w14:paraId="7DA6A204" w14:textId="77777777" w:rsidR="00A502A0" w:rsidRPr="00A333F5" w:rsidRDefault="00000000">
            <w:pPr>
              <w:widowControl w:val="0"/>
              <w:contextualSpacing w:val="0"/>
              <w:jc w:val="both"/>
              <w:rPr>
                <w:rFonts w:cstheme="minorHAnsi"/>
                <w:b w:val="0"/>
                <w:bCs w:val="0"/>
                <w:color w:val="000000"/>
                <w:sz w:val="24"/>
                <w:szCs w:val="24"/>
              </w:rPr>
            </w:pPr>
            <w:r w:rsidRPr="00A333F5">
              <w:rPr>
                <w:rFonts w:eastAsia="Calibri" w:cstheme="minorHAnsi"/>
                <w:b w:val="0"/>
                <w:bCs w:val="0"/>
                <w:color w:val="1C1D1D"/>
                <w:sz w:val="24"/>
                <w:szCs w:val="24"/>
                <w:lang w:val="es-ES"/>
              </w:rPr>
              <w:t xml:space="preserve">¿La Junta firmó el contrato </w:t>
            </w:r>
            <w:r w:rsidRPr="00A333F5">
              <w:rPr>
                <w:rFonts w:eastAsia="Calibri" w:cstheme="minorHAnsi"/>
                <w:b w:val="0"/>
                <w:bCs w:val="0"/>
                <w:color w:val="0A0A0A"/>
                <w:sz w:val="24"/>
                <w:szCs w:val="24"/>
                <w:lang w:val="es-ES"/>
              </w:rPr>
              <w:t>entre quien promueva el procedimiento y el contratista, una vez firme el acto de adjudicación y rendida la garantía de cumplimiento cuando haya sido exigida</w:t>
            </w:r>
            <w:r w:rsidRPr="00A333F5">
              <w:rPr>
                <w:rFonts w:eastAsia="Calibri" w:cstheme="minorHAnsi"/>
                <w:b w:val="0"/>
                <w:bCs w:val="0"/>
                <w:color w:val="1E1E1F"/>
                <w:sz w:val="24"/>
                <w:szCs w:val="24"/>
                <w:lang w:val="es-CR"/>
              </w:rPr>
              <w:t>? (Art. 101 Ley N°9986)</w:t>
            </w:r>
          </w:p>
        </w:tc>
        <w:tc>
          <w:tcPr>
            <w:tcW w:w="313" w:type="pct"/>
          </w:tcPr>
          <w:p w14:paraId="7CA26DBC"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341" w:type="pct"/>
          </w:tcPr>
          <w:p w14:paraId="7E58AFEB"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337" w:type="pct"/>
          </w:tcPr>
          <w:p w14:paraId="2B61B67F"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1778" w:type="pct"/>
          </w:tcPr>
          <w:p w14:paraId="5EA2DDCF"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r>
      <w:tr w:rsidR="00A333F5" w:rsidRPr="00A333F5" w14:paraId="3D614DFB" w14:textId="77777777" w:rsidTr="006F43E4">
        <w:trPr>
          <w:cnfStyle w:val="000000100000" w:firstRow="0" w:lastRow="0" w:firstColumn="0" w:lastColumn="0" w:oddVBand="0" w:evenVBand="0" w:oddHBand="1" w:evenHBand="0" w:firstRowFirstColumn="0" w:firstRowLastColumn="0" w:lastRowFirstColumn="0" w:lastRowLastColumn="0"/>
          <w:trHeight w:val="1093"/>
        </w:trPr>
        <w:tc>
          <w:tcPr>
            <w:cnfStyle w:val="001000000000" w:firstRow="0" w:lastRow="0" w:firstColumn="1" w:lastColumn="0" w:oddVBand="0" w:evenVBand="0" w:oddHBand="0" w:evenHBand="0" w:firstRowFirstColumn="0" w:firstRowLastColumn="0" w:lastRowFirstColumn="0" w:lastRowLastColumn="0"/>
            <w:tcW w:w="2231" w:type="pct"/>
          </w:tcPr>
          <w:p w14:paraId="6AE47C05"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ES"/>
              </w:rPr>
              <w:lastRenderedPageBreak/>
              <w:t>¿El adjudicatario aportó a la Administración, los contratos que acuerde con los subcontratistas (si corresponde), así como cualquier otra información que requiera la Administración para la toma de decisiones, según la etapa del procedimiento de contratación en la que se encuentre? (Art. 14 Ley N°9986)</w:t>
            </w:r>
          </w:p>
        </w:tc>
        <w:tc>
          <w:tcPr>
            <w:tcW w:w="313" w:type="pct"/>
          </w:tcPr>
          <w:p w14:paraId="5A76AF05"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341" w:type="pct"/>
          </w:tcPr>
          <w:p w14:paraId="16253F8A"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337" w:type="pct"/>
          </w:tcPr>
          <w:p w14:paraId="2E035A1D"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1778" w:type="pct"/>
          </w:tcPr>
          <w:p w14:paraId="51A4E13A"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r>
      <w:tr w:rsidR="00A333F5" w:rsidRPr="005F0468" w14:paraId="1CA49467" w14:textId="77777777" w:rsidTr="006F43E4">
        <w:trPr>
          <w:trHeight w:val="1093"/>
        </w:trPr>
        <w:tc>
          <w:tcPr>
            <w:cnfStyle w:val="001000000000" w:firstRow="0" w:lastRow="0" w:firstColumn="1" w:lastColumn="0" w:oddVBand="0" w:evenVBand="0" w:oddHBand="0" w:evenHBand="0" w:firstRowFirstColumn="0" w:firstRowLastColumn="0" w:lastRowFirstColumn="0" w:lastRowLastColumn="0"/>
            <w:tcW w:w="2231" w:type="pct"/>
          </w:tcPr>
          <w:p w14:paraId="58F95CD7"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ES"/>
              </w:rPr>
              <w:t>¿Se verificó que los subcontratistas (si corresponde) se encuentren al día con las obligaciones de la seguridad social, tanto de la Caja Costarricense de Seguro Social y el Fondo de Desarrollo Social y Asignaciones Familiares (Art. 14 Ley N°9986).</w:t>
            </w:r>
          </w:p>
        </w:tc>
        <w:tc>
          <w:tcPr>
            <w:tcW w:w="313" w:type="pct"/>
          </w:tcPr>
          <w:p w14:paraId="716B88F5"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45720B93"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4332E7E2"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12F6AF02"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4E1BFAFF" w14:textId="77777777" w:rsidTr="006F43E4">
        <w:trPr>
          <w:cnfStyle w:val="000000100000" w:firstRow="0" w:lastRow="0" w:firstColumn="0" w:lastColumn="0" w:oddVBand="0" w:evenVBand="0" w:oddHBand="1" w:evenHBand="0" w:firstRowFirstColumn="0" w:firstRowLastColumn="0" w:lastRowFirstColumn="0" w:lastRowLastColumn="0"/>
          <w:trHeight w:val="1093"/>
        </w:trPr>
        <w:tc>
          <w:tcPr>
            <w:cnfStyle w:val="001000000000" w:firstRow="0" w:lastRow="0" w:firstColumn="1" w:lastColumn="0" w:oddVBand="0" w:evenVBand="0" w:oddHBand="0" w:evenHBand="0" w:firstRowFirstColumn="0" w:firstRowLastColumn="0" w:lastRowFirstColumn="0" w:lastRowLastColumn="0"/>
            <w:tcW w:w="2231" w:type="pct"/>
          </w:tcPr>
          <w:p w14:paraId="70DE017E"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ES"/>
              </w:rPr>
              <w:t>¿Si se solicitó garantía de cumplimiento en pliego de condiciones, se aportó por el oferente una vez comunicada la adjudicación en firme, por el monto y vigencia mínima solicitado? (Art. 110  Ley N°9986 y Art. 114 reglamento Ley N°9986).</w:t>
            </w:r>
          </w:p>
        </w:tc>
        <w:tc>
          <w:tcPr>
            <w:tcW w:w="313" w:type="pct"/>
          </w:tcPr>
          <w:p w14:paraId="0FEC22F5"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7105BEEF"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047ABDEE"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73D50489"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68DB6823" w14:textId="77777777" w:rsidTr="006F43E4">
        <w:trPr>
          <w:trHeight w:val="1093"/>
        </w:trPr>
        <w:tc>
          <w:tcPr>
            <w:cnfStyle w:val="001000000000" w:firstRow="0" w:lastRow="0" w:firstColumn="1" w:lastColumn="0" w:oddVBand="0" w:evenVBand="0" w:oddHBand="0" w:evenHBand="0" w:firstRowFirstColumn="0" w:firstRowLastColumn="0" w:lastRowFirstColumn="0" w:lastRowLastColumn="0"/>
            <w:tcW w:w="2231" w:type="pct"/>
          </w:tcPr>
          <w:p w14:paraId="2278F2F6"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CR"/>
              </w:rPr>
              <w:t>¿Se recibió el bien o servicio a satisfacción, y se elaboró el acta respectiva con la fecha y firmas de las personas que recibieron el bien o servicio? (Art 11, 108 y 109 Ley N°9986)</w:t>
            </w:r>
          </w:p>
          <w:p w14:paraId="150D978B" w14:textId="77777777" w:rsidR="00A502A0" w:rsidRPr="00A333F5" w:rsidRDefault="00A502A0">
            <w:pPr>
              <w:widowControl w:val="0"/>
              <w:contextualSpacing w:val="0"/>
              <w:jc w:val="both"/>
              <w:rPr>
                <w:rFonts w:eastAsia="Calibri" w:cstheme="minorHAnsi"/>
                <w:b w:val="0"/>
                <w:bCs w:val="0"/>
                <w:color w:val="000000"/>
                <w:sz w:val="24"/>
                <w:szCs w:val="24"/>
                <w:lang w:val="es-CR"/>
              </w:rPr>
            </w:pPr>
          </w:p>
        </w:tc>
        <w:tc>
          <w:tcPr>
            <w:tcW w:w="313" w:type="pct"/>
          </w:tcPr>
          <w:p w14:paraId="457B709C"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2B9BE498"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169D5F7B"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2E64B75E"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1C8A8516" w14:textId="77777777" w:rsidTr="006F43E4">
        <w:trPr>
          <w:cnfStyle w:val="000000100000" w:firstRow="0" w:lastRow="0" w:firstColumn="0" w:lastColumn="0" w:oddVBand="0" w:evenVBand="0" w:oddHBand="1" w:evenHBand="0" w:firstRowFirstColumn="0" w:firstRowLastColumn="0" w:lastRowFirstColumn="0" w:lastRowLastColumn="0"/>
          <w:trHeight w:val="750"/>
        </w:trPr>
        <w:tc>
          <w:tcPr>
            <w:cnfStyle w:val="001000000000" w:firstRow="0" w:lastRow="0" w:firstColumn="1" w:lastColumn="0" w:oddVBand="0" w:evenVBand="0" w:oddHBand="0" w:evenHBand="0" w:firstRowFirstColumn="0" w:firstRowLastColumn="0" w:lastRowFirstColumn="0" w:lastRowLastColumn="0"/>
            <w:tcW w:w="2231" w:type="pct"/>
          </w:tcPr>
          <w:p w14:paraId="4437027F" w14:textId="77777777" w:rsidR="00A502A0" w:rsidRPr="00A333F5" w:rsidRDefault="00000000">
            <w:pPr>
              <w:widowControl w:val="0"/>
              <w:suppressAutoHyphens w:val="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CR"/>
              </w:rPr>
              <w:t xml:space="preserve">¿Si se va a ejecutar la garantía de cumplimiento  se cumplieron los aspectos establecidos en el Artículo 45 de la Ley N°9986 y </w:t>
            </w:r>
            <w:r w:rsidRPr="00A333F5">
              <w:rPr>
                <w:rFonts w:cstheme="minorHAnsi"/>
                <w:b w:val="0"/>
                <w:bCs w:val="0"/>
                <w:color w:val="000000"/>
                <w:sz w:val="24"/>
                <w:szCs w:val="24"/>
                <w:lang w:val="es-ES"/>
              </w:rPr>
              <w:t>Artículos 113 Reglamento Ley N°9986</w:t>
            </w:r>
            <w:r w:rsidRPr="00A333F5">
              <w:rPr>
                <w:rFonts w:cstheme="minorHAnsi"/>
                <w:b w:val="0"/>
                <w:bCs w:val="0"/>
                <w:color w:val="000000"/>
                <w:sz w:val="24"/>
                <w:szCs w:val="24"/>
                <w:lang w:val="es-CR"/>
              </w:rPr>
              <w:t>?</w:t>
            </w:r>
          </w:p>
        </w:tc>
        <w:tc>
          <w:tcPr>
            <w:tcW w:w="313" w:type="pct"/>
          </w:tcPr>
          <w:p w14:paraId="0D679EAD"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341" w:type="pct"/>
          </w:tcPr>
          <w:p w14:paraId="5B3F12D6"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337" w:type="pct"/>
          </w:tcPr>
          <w:p w14:paraId="1DC27A3B"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1778" w:type="pct"/>
          </w:tcPr>
          <w:p w14:paraId="48D7DEC8"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r>
      <w:tr w:rsidR="00A333F5" w:rsidRPr="005F0468" w14:paraId="48B73434" w14:textId="77777777" w:rsidTr="006F43E4">
        <w:trPr>
          <w:trHeight w:val="750"/>
        </w:trPr>
        <w:tc>
          <w:tcPr>
            <w:cnfStyle w:val="001000000000" w:firstRow="0" w:lastRow="0" w:firstColumn="1" w:lastColumn="0" w:oddVBand="0" w:evenVBand="0" w:oddHBand="0" w:evenHBand="0" w:firstRowFirstColumn="0" w:firstRowLastColumn="0" w:lastRowFirstColumn="0" w:lastRowLastColumn="0"/>
            <w:tcW w:w="2231" w:type="pct"/>
          </w:tcPr>
          <w:p w14:paraId="09205C16"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CR"/>
              </w:rPr>
              <w:t>¿Se devolvieron las garantías de cumplimiento o colateral a los adjudicatarios cuando corresponde y según lo establecido en el Artículo 45 del Reglamento de la Ley N°9986?</w:t>
            </w:r>
          </w:p>
          <w:p w14:paraId="39796939" w14:textId="77777777" w:rsidR="00A502A0" w:rsidRPr="00A333F5" w:rsidRDefault="00A502A0">
            <w:pPr>
              <w:widowControl w:val="0"/>
              <w:contextualSpacing w:val="0"/>
              <w:jc w:val="both"/>
              <w:rPr>
                <w:rFonts w:cstheme="minorHAnsi"/>
                <w:b w:val="0"/>
                <w:bCs w:val="0"/>
                <w:color w:val="000000"/>
                <w:sz w:val="24"/>
                <w:szCs w:val="24"/>
                <w:lang w:val="es-CR"/>
              </w:rPr>
            </w:pPr>
          </w:p>
        </w:tc>
        <w:tc>
          <w:tcPr>
            <w:tcW w:w="313" w:type="pct"/>
          </w:tcPr>
          <w:p w14:paraId="01C67026"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341" w:type="pct"/>
          </w:tcPr>
          <w:p w14:paraId="34C91D60"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337" w:type="pct"/>
          </w:tcPr>
          <w:p w14:paraId="2278AEDE"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c>
          <w:tcPr>
            <w:tcW w:w="1778" w:type="pct"/>
          </w:tcPr>
          <w:p w14:paraId="0AD92D9A"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eastAsia="Calibri" w:cstheme="minorHAnsi"/>
                <w:color w:val="000000"/>
                <w:sz w:val="24"/>
                <w:szCs w:val="24"/>
                <w:lang w:val="es-CR"/>
              </w:rPr>
            </w:pPr>
          </w:p>
        </w:tc>
      </w:tr>
      <w:tr w:rsidR="00A333F5" w:rsidRPr="005F0468" w14:paraId="658F3292" w14:textId="77777777" w:rsidTr="006F43E4">
        <w:trPr>
          <w:cnfStyle w:val="000000100000" w:firstRow="0" w:lastRow="0" w:firstColumn="0" w:lastColumn="0" w:oddVBand="0" w:evenVBand="0" w:oddHBand="1" w:evenHBand="0" w:firstRowFirstColumn="0" w:firstRowLastColumn="0" w:lastRowFirstColumn="0" w:lastRowLastColumn="0"/>
          <w:trHeight w:val="750"/>
        </w:trPr>
        <w:tc>
          <w:tcPr>
            <w:cnfStyle w:val="001000000000" w:firstRow="0" w:lastRow="0" w:firstColumn="1" w:lastColumn="0" w:oddVBand="0" w:evenVBand="0" w:oddHBand="0" w:evenHBand="0" w:firstRowFirstColumn="0" w:firstRowLastColumn="0" w:lastRowFirstColumn="0" w:lastRowLastColumn="0"/>
            <w:tcW w:w="2231" w:type="pct"/>
          </w:tcPr>
          <w:p w14:paraId="375A7EC4" w14:textId="77777777" w:rsidR="00A502A0" w:rsidRPr="00A333F5" w:rsidRDefault="00000000">
            <w:pPr>
              <w:widowControl w:val="0"/>
              <w:suppressAutoHyphens w:val="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CR"/>
              </w:rPr>
              <w:t xml:space="preserve">¿Si se va a ejecutar otras garantías, aplicar cláusulas de retención, otras sanciones económicas o multas y clausulas penales establecidas en el pliego de condiciones, se cumplieron los aspectos establecidos en los </w:t>
            </w:r>
            <w:r w:rsidRPr="00A333F5">
              <w:rPr>
                <w:rFonts w:cstheme="minorHAnsi"/>
                <w:b w:val="0"/>
                <w:bCs w:val="0"/>
                <w:color w:val="000000"/>
                <w:sz w:val="24"/>
                <w:szCs w:val="24"/>
                <w:lang w:val="es-ES"/>
              </w:rPr>
              <w:t>Artículos 115, 116 y 117 del Reglamento  de la Ley N°9986</w:t>
            </w:r>
            <w:r w:rsidRPr="00A333F5">
              <w:rPr>
                <w:rFonts w:cstheme="minorHAnsi"/>
                <w:b w:val="0"/>
                <w:bCs w:val="0"/>
                <w:color w:val="000000"/>
                <w:sz w:val="24"/>
                <w:szCs w:val="24"/>
                <w:lang w:val="es-CR"/>
              </w:rPr>
              <w:t>?</w:t>
            </w:r>
          </w:p>
        </w:tc>
        <w:tc>
          <w:tcPr>
            <w:tcW w:w="313" w:type="pct"/>
          </w:tcPr>
          <w:p w14:paraId="25BDF0CF"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341" w:type="pct"/>
          </w:tcPr>
          <w:p w14:paraId="02CBF33E"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337" w:type="pct"/>
          </w:tcPr>
          <w:p w14:paraId="653F5448"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c>
          <w:tcPr>
            <w:tcW w:w="1778" w:type="pct"/>
          </w:tcPr>
          <w:p w14:paraId="4991484B"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eastAsia="Calibri" w:cstheme="minorHAnsi"/>
                <w:color w:val="000000"/>
                <w:sz w:val="24"/>
                <w:szCs w:val="24"/>
                <w:lang w:val="es-CR"/>
              </w:rPr>
            </w:pPr>
          </w:p>
        </w:tc>
      </w:tr>
      <w:tr w:rsidR="00A333F5" w:rsidRPr="005F0468" w14:paraId="7DF6B799" w14:textId="77777777" w:rsidTr="006F43E4">
        <w:trPr>
          <w:trHeight w:val="750"/>
        </w:trPr>
        <w:tc>
          <w:tcPr>
            <w:cnfStyle w:val="001000000000" w:firstRow="0" w:lastRow="0" w:firstColumn="1" w:lastColumn="0" w:oddVBand="0" w:evenVBand="0" w:oddHBand="0" w:evenHBand="0" w:firstRowFirstColumn="0" w:firstRowLastColumn="0" w:lastRowFirstColumn="0" w:lastRowLastColumn="0"/>
            <w:tcW w:w="2231" w:type="pct"/>
          </w:tcPr>
          <w:p w14:paraId="4193F643"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 xml:space="preserve">¿Si recibió una solicitud de reajuste de precios o de mantenimiento del equilibrio económico del contrato, se resolvió según lo establecido en el Artículo 43 de la Ley N°9986 </w:t>
            </w:r>
            <w:r w:rsidRPr="00A333F5">
              <w:rPr>
                <w:rFonts w:cstheme="minorHAnsi"/>
                <w:b w:val="0"/>
                <w:bCs w:val="0"/>
                <w:color w:val="000000"/>
                <w:sz w:val="24"/>
                <w:szCs w:val="24"/>
                <w:lang w:val="es-CR"/>
              </w:rPr>
              <w:t>y Artículos 107, 108 y 109 Reglamento Ley N°9986</w:t>
            </w:r>
            <w:r w:rsidRPr="00A333F5">
              <w:rPr>
                <w:rFonts w:eastAsia="Calibri" w:cstheme="minorHAnsi"/>
                <w:b w:val="0"/>
                <w:bCs w:val="0"/>
                <w:color w:val="000000"/>
                <w:sz w:val="24"/>
                <w:szCs w:val="24"/>
                <w:lang w:val="es-CR"/>
              </w:rPr>
              <w:t>?</w:t>
            </w:r>
          </w:p>
        </w:tc>
        <w:tc>
          <w:tcPr>
            <w:tcW w:w="313" w:type="pct"/>
          </w:tcPr>
          <w:p w14:paraId="645B3F68"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1B9C552C"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577C2B09"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518BDEFF"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32B4640D" w14:textId="77777777" w:rsidTr="006F43E4">
        <w:trPr>
          <w:cnfStyle w:val="000000100000" w:firstRow="0" w:lastRow="0" w:firstColumn="0" w:lastColumn="0" w:oddVBand="0" w:evenVBand="0" w:oddHBand="1" w:evenHBand="0" w:firstRowFirstColumn="0" w:firstRowLastColumn="0" w:lastRowFirstColumn="0" w:lastRowLastColumn="0"/>
          <w:trHeight w:val="750"/>
        </w:trPr>
        <w:tc>
          <w:tcPr>
            <w:cnfStyle w:val="001000000000" w:firstRow="0" w:lastRow="0" w:firstColumn="1" w:lastColumn="0" w:oddVBand="0" w:evenVBand="0" w:oddHBand="0" w:evenHBand="0" w:firstRowFirstColumn="0" w:firstRowLastColumn="0" w:lastRowFirstColumn="0" w:lastRowLastColumn="0"/>
            <w:tcW w:w="2231" w:type="pct"/>
          </w:tcPr>
          <w:p w14:paraId="7CEE560D"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cstheme="minorHAnsi"/>
                <w:b w:val="0"/>
                <w:bCs w:val="0"/>
                <w:color w:val="000000"/>
                <w:sz w:val="24"/>
                <w:szCs w:val="24"/>
                <w:lang w:val="es-CR"/>
              </w:rPr>
              <w:t>¿En sesión de Junta se revisó que el pago de la factura que se va a aprobar, esta de conformidad con las condiciones establecidas en el cartel y en el contrato firmado con el proveedor (cuando corresponda)? (Art 18 y 19 Reglamento Ley N°9986).</w:t>
            </w:r>
          </w:p>
        </w:tc>
        <w:tc>
          <w:tcPr>
            <w:tcW w:w="313" w:type="pct"/>
          </w:tcPr>
          <w:p w14:paraId="5E681919"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5A97AEF8"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08204699"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594121A4"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659B8FA4" w14:textId="77777777" w:rsidTr="006F43E4">
        <w:trPr>
          <w:trHeight w:val="750"/>
        </w:trPr>
        <w:tc>
          <w:tcPr>
            <w:cnfStyle w:val="001000000000" w:firstRow="0" w:lastRow="0" w:firstColumn="1" w:lastColumn="0" w:oddVBand="0" w:evenVBand="0" w:oddHBand="0" w:evenHBand="0" w:firstRowFirstColumn="0" w:firstRowLastColumn="0" w:lastRowFirstColumn="0" w:lastRowLastColumn="0"/>
            <w:tcW w:w="2231" w:type="pct"/>
          </w:tcPr>
          <w:p w14:paraId="4D6F0789"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w:t>
            </w:r>
            <w:r w:rsidRPr="00A333F5">
              <w:rPr>
                <w:rFonts w:eastAsia="Calibri" w:cstheme="minorHAnsi"/>
                <w:b w:val="0"/>
                <w:bCs w:val="0"/>
                <w:color w:val="000000"/>
                <w:sz w:val="24"/>
                <w:szCs w:val="24"/>
                <w:lang w:val="es-ES"/>
              </w:rPr>
              <w:t>Se dejó copia del acuerdo de Junta en donde se aprueba el pago de la factura por la contratación realizada, en el expediente de contratación</w:t>
            </w:r>
            <w:r w:rsidRPr="00A333F5">
              <w:rPr>
                <w:rFonts w:eastAsia="Calibri" w:cstheme="minorHAnsi"/>
                <w:b w:val="0"/>
                <w:bCs w:val="0"/>
                <w:color w:val="000000"/>
                <w:sz w:val="24"/>
                <w:szCs w:val="24"/>
                <w:lang w:val="es-CR"/>
              </w:rPr>
              <w:t>?</w:t>
            </w:r>
          </w:p>
        </w:tc>
        <w:tc>
          <w:tcPr>
            <w:tcW w:w="313" w:type="pct"/>
          </w:tcPr>
          <w:p w14:paraId="3780F12E"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68B14674"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73E8BAB0"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424ED704"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540D6059" w14:textId="77777777" w:rsidTr="006F43E4">
        <w:trPr>
          <w:cnfStyle w:val="000000100000" w:firstRow="0" w:lastRow="0" w:firstColumn="0" w:lastColumn="0" w:oddVBand="0" w:evenVBand="0" w:oddHBand="1" w:evenHBand="0" w:firstRowFirstColumn="0" w:firstRowLastColumn="0" w:lastRowFirstColumn="0" w:lastRowLastColumn="0"/>
          <w:trHeight w:val="750"/>
        </w:trPr>
        <w:tc>
          <w:tcPr>
            <w:cnfStyle w:val="001000000000" w:firstRow="0" w:lastRow="0" w:firstColumn="1" w:lastColumn="0" w:oddVBand="0" w:evenVBand="0" w:oddHBand="0" w:evenHBand="0" w:firstRowFirstColumn="0" w:firstRowLastColumn="0" w:lastRowFirstColumn="0" w:lastRowLastColumn="0"/>
            <w:tcW w:w="2231" w:type="pct"/>
          </w:tcPr>
          <w:p w14:paraId="1BE26298"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w:t>
            </w:r>
            <w:r w:rsidRPr="00A333F5">
              <w:rPr>
                <w:rFonts w:eastAsia="Calibri" w:cstheme="minorHAnsi"/>
                <w:b w:val="0"/>
                <w:bCs w:val="0"/>
                <w:color w:val="000000"/>
                <w:sz w:val="24"/>
                <w:szCs w:val="24"/>
                <w:lang w:val="es-ES"/>
              </w:rPr>
              <w:t>Se dejó copia del pago realizado al adjudicatario en el expediente de contratación</w:t>
            </w:r>
            <w:r w:rsidRPr="00A333F5">
              <w:rPr>
                <w:rFonts w:eastAsia="Calibri" w:cstheme="minorHAnsi"/>
                <w:b w:val="0"/>
                <w:bCs w:val="0"/>
                <w:color w:val="000000"/>
                <w:sz w:val="24"/>
                <w:szCs w:val="24"/>
                <w:lang w:val="es-CR"/>
              </w:rPr>
              <w:t>?</w:t>
            </w:r>
          </w:p>
        </w:tc>
        <w:tc>
          <w:tcPr>
            <w:tcW w:w="313" w:type="pct"/>
          </w:tcPr>
          <w:p w14:paraId="56ED16CB"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60903EB7"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18C2CB93"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040878C2"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5F0468" w14:paraId="4EFCCBF6" w14:textId="77777777" w:rsidTr="006F43E4">
        <w:trPr>
          <w:trHeight w:val="750"/>
        </w:trPr>
        <w:tc>
          <w:tcPr>
            <w:cnfStyle w:val="001000000000" w:firstRow="0" w:lastRow="0" w:firstColumn="1" w:lastColumn="0" w:oddVBand="0" w:evenVBand="0" w:oddHBand="0" w:evenHBand="0" w:firstRowFirstColumn="0" w:firstRowLastColumn="0" w:lastRowFirstColumn="0" w:lastRowLastColumn="0"/>
            <w:tcW w:w="2231" w:type="pct"/>
          </w:tcPr>
          <w:p w14:paraId="2036272D" w14:textId="77777777" w:rsidR="00A502A0" w:rsidRPr="00A333F5" w:rsidRDefault="00000000">
            <w:pPr>
              <w:widowControl w:val="0"/>
              <w:spacing w:before="240"/>
              <w:contextualSpacing w:val="0"/>
              <w:jc w:val="both"/>
              <w:rPr>
                <w:rFonts w:cstheme="minorHAnsi"/>
                <w:b w:val="0"/>
                <w:bCs w:val="0"/>
                <w:color w:val="000000"/>
                <w:sz w:val="24"/>
                <w:szCs w:val="24"/>
                <w:lang w:val="es-CR"/>
              </w:rPr>
            </w:pPr>
            <w:r w:rsidRPr="00A333F5">
              <w:rPr>
                <w:rFonts w:eastAsia="Calibri" w:cstheme="minorHAnsi"/>
                <w:b w:val="0"/>
                <w:bCs w:val="0"/>
                <w:color w:val="000000"/>
                <w:sz w:val="24"/>
                <w:szCs w:val="24"/>
                <w:lang w:val="es-CR"/>
              </w:rPr>
              <w:t>¿En caso de pago anticipado, se cumple con lo establecido en el Artículo 11 de la Ley N°9986 y Artículo 20 del Reglamento?</w:t>
            </w:r>
          </w:p>
          <w:p w14:paraId="5889B1F4" w14:textId="77777777" w:rsidR="00A502A0" w:rsidRPr="00A333F5" w:rsidRDefault="00A502A0">
            <w:pPr>
              <w:widowControl w:val="0"/>
              <w:contextualSpacing w:val="0"/>
              <w:jc w:val="both"/>
              <w:rPr>
                <w:rFonts w:cstheme="minorHAnsi"/>
                <w:b w:val="0"/>
                <w:bCs w:val="0"/>
                <w:color w:val="000000"/>
                <w:sz w:val="24"/>
                <w:szCs w:val="24"/>
                <w:lang w:val="es-CR"/>
              </w:rPr>
            </w:pPr>
          </w:p>
        </w:tc>
        <w:tc>
          <w:tcPr>
            <w:tcW w:w="313" w:type="pct"/>
          </w:tcPr>
          <w:p w14:paraId="357CB7DB"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0CA61AB6"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5B5B7CE6"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5FD37A04"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A333F5" w14:paraId="19CDEFFF" w14:textId="77777777" w:rsidTr="006F43E4">
        <w:trPr>
          <w:cnfStyle w:val="000000100000" w:firstRow="0" w:lastRow="0" w:firstColumn="0" w:lastColumn="0" w:oddVBand="0" w:evenVBand="0" w:oddHBand="1" w:evenHBand="0" w:firstRowFirstColumn="0" w:firstRowLastColumn="0" w:lastRowFirstColumn="0" w:lastRowLastColumn="0"/>
          <w:trHeight w:val="750"/>
        </w:trPr>
        <w:tc>
          <w:tcPr>
            <w:cnfStyle w:val="001000000000" w:firstRow="0" w:lastRow="0" w:firstColumn="1" w:lastColumn="0" w:oddVBand="0" w:evenVBand="0" w:oddHBand="0" w:evenHBand="0" w:firstRowFirstColumn="0" w:firstRowLastColumn="0" w:lastRowFirstColumn="0" w:lastRowLastColumn="0"/>
            <w:tcW w:w="2231" w:type="pct"/>
          </w:tcPr>
          <w:p w14:paraId="53297468" w14:textId="77777777" w:rsidR="00A502A0" w:rsidRPr="00A333F5" w:rsidRDefault="00000000">
            <w:pPr>
              <w:widowControl w:val="0"/>
              <w:jc w:val="both"/>
              <w:rPr>
                <w:rFonts w:cstheme="minorHAnsi"/>
                <w:b w:val="0"/>
                <w:bCs w:val="0"/>
                <w:color w:val="000000"/>
                <w:sz w:val="24"/>
                <w:szCs w:val="24"/>
                <w:lang w:val="es-CR"/>
              </w:rPr>
            </w:pPr>
            <w:r w:rsidRPr="00A333F5">
              <w:rPr>
                <w:rFonts w:cstheme="minorHAnsi"/>
                <w:b w:val="0"/>
                <w:bCs w:val="0"/>
                <w:color w:val="000000"/>
                <w:sz w:val="24"/>
                <w:szCs w:val="24"/>
                <w:lang w:val="es-CR"/>
              </w:rPr>
              <w:lastRenderedPageBreak/>
              <w:t>¿En contratos de obra, las partes suscribieron el finiquito correspondiente, el cual se deberá realizar dentro del plazo máximo de un año desde la recepción definitiva de la obra y con el detalle que se estime conveniente? (Art 111 Ley N°9986).</w:t>
            </w:r>
          </w:p>
          <w:p w14:paraId="7863A407" w14:textId="77777777" w:rsidR="00A502A0" w:rsidRPr="00A333F5" w:rsidRDefault="00A502A0">
            <w:pPr>
              <w:widowControl w:val="0"/>
              <w:jc w:val="both"/>
              <w:rPr>
                <w:rFonts w:eastAsia="Calibri" w:cstheme="minorHAnsi"/>
                <w:b w:val="0"/>
                <w:bCs w:val="0"/>
                <w:color w:val="000000"/>
                <w:sz w:val="24"/>
                <w:szCs w:val="24"/>
                <w:lang w:val="es-CR"/>
              </w:rPr>
            </w:pPr>
          </w:p>
        </w:tc>
        <w:tc>
          <w:tcPr>
            <w:tcW w:w="313" w:type="pct"/>
          </w:tcPr>
          <w:p w14:paraId="2198901D"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74DD6DD7"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6DCBD1FB"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3F437435"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r w:rsidR="00A333F5" w:rsidRPr="00A333F5" w14:paraId="6D594D86" w14:textId="77777777" w:rsidTr="006F43E4">
        <w:trPr>
          <w:trHeight w:val="750"/>
        </w:trPr>
        <w:tc>
          <w:tcPr>
            <w:cnfStyle w:val="001000000000" w:firstRow="0" w:lastRow="0" w:firstColumn="1" w:lastColumn="0" w:oddVBand="0" w:evenVBand="0" w:oddHBand="0" w:evenHBand="0" w:firstRowFirstColumn="0" w:firstRowLastColumn="0" w:lastRowFirstColumn="0" w:lastRowLastColumn="0"/>
            <w:tcW w:w="2231" w:type="pct"/>
          </w:tcPr>
          <w:p w14:paraId="0C7CBBD8" w14:textId="77777777" w:rsidR="00A502A0" w:rsidRPr="00A333F5" w:rsidRDefault="00000000">
            <w:pPr>
              <w:widowControl w:val="0"/>
              <w:jc w:val="both"/>
              <w:rPr>
                <w:rFonts w:cstheme="minorHAnsi"/>
                <w:b w:val="0"/>
                <w:bCs w:val="0"/>
                <w:color w:val="000000"/>
                <w:sz w:val="24"/>
                <w:szCs w:val="24"/>
              </w:rPr>
            </w:pPr>
            <w:r w:rsidRPr="00A333F5">
              <w:rPr>
                <w:rFonts w:cstheme="minorHAnsi"/>
                <w:b w:val="0"/>
                <w:bCs w:val="0"/>
                <w:color w:val="000000"/>
                <w:sz w:val="24"/>
                <w:szCs w:val="24"/>
                <w:lang w:val="es-CR"/>
              </w:rPr>
              <w:t>¿Si corresponde, ante la inactividad de la Administración o del contratista, por un período que alcance seis meses, ya sea de forma continua o de la sumatoria de las suspensiones parciales, se aplicó la figura de la caducidad, que implicará la extinción del contrato en la etapa en que se encuentre. Tal cómputo se realizará de forma separada en cuanto a las ac tuaciones propias de la Administración y aquellas del contratista y la primera que alcance ese plazo originará la caducidad? (Art 112 Ley N°9986).</w:t>
            </w:r>
          </w:p>
          <w:p w14:paraId="283EF568" w14:textId="77777777" w:rsidR="00A502A0" w:rsidRPr="00A333F5" w:rsidRDefault="00A502A0">
            <w:pPr>
              <w:widowControl w:val="0"/>
              <w:jc w:val="both"/>
              <w:rPr>
                <w:rFonts w:cstheme="minorHAnsi"/>
                <w:b w:val="0"/>
                <w:bCs w:val="0"/>
                <w:color w:val="000000"/>
                <w:sz w:val="24"/>
                <w:szCs w:val="24"/>
              </w:rPr>
            </w:pPr>
          </w:p>
        </w:tc>
        <w:tc>
          <w:tcPr>
            <w:tcW w:w="313" w:type="pct"/>
          </w:tcPr>
          <w:p w14:paraId="12596981"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41" w:type="pct"/>
          </w:tcPr>
          <w:p w14:paraId="0B3141B9"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337" w:type="pct"/>
          </w:tcPr>
          <w:p w14:paraId="7BB31119" w14:textId="77777777" w:rsidR="00A502A0" w:rsidRPr="00A333F5" w:rsidRDefault="00A502A0">
            <w:pPr>
              <w:widowControl w:val="0"/>
              <w:spacing w:before="240"/>
              <w:contextualSpacing w:val="0"/>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c>
          <w:tcPr>
            <w:tcW w:w="1778" w:type="pct"/>
          </w:tcPr>
          <w:p w14:paraId="1FA3E372" w14:textId="77777777" w:rsidR="00A502A0" w:rsidRPr="00A333F5" w:rsidRDefault="00A502A0">
            <w:pPr>
              <w:widowControl w:val="0"/>
              <w:spacing w:before="240"/>
              <w:contextualSpacing w:val="0"/>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s-CR"/>
              </w:rPr>
            </w:pPr>
          </w:p>
        </w:tc>
      </w:tr>
      <w:tr w:rsidR="00A333F5" w:rsidRPr="005F0468" w14:paraId="3FA8219F" w14:textId="77777777" w:rsidTr="006F43E4">
        <w:trPr>
          <w:cnfStyle w:val="000000100000" w:firstRow="0" w:lastRow="0" w:firstColumn="0" w:lastColumn="0" w:oddVBand="0" w:evenVBand="0" w:oddHBand="1" w:evenHBand="0" w:firstRowFirstColumn="0" w:firstRowLastColumn="0" w:lastRowFirstColumn="0" w:lastRowLastColumn="0"/>
          <w:trHeight w:val="750"/>
        </w:trPr>
        <w:tc>
          <w:tcPr>
            <w:cnfStyle w:val="001000000000" w:firstRow="0" w:lastRow="0" w:firstColumn="1" w:lastColumn="0" w:oddVBand="0" w:evenVBand="0" w:oddHBand="0" w:evenHBand="0" w:firstRowFirstColumn="0" w:firstRowLastColumn="0" w:lastRowFirstColumn="0" w:lastRowLastColumn="0"/>
            <w:tcW w:w="2231" w:type="pct"/>
          </w:tcPr>
          <w:p w14:paraId="160007F7" w14:textId="77777777" w:rsidR="00A502A0" w:rsidRPr="00A333F5" w:rsidRDefault="00000000">
            <w:pPr>
              <w:widowControl w:val="0"/>
              <w:jc w:val="both"/>
              <w:rPr>
                <w:rFonts w:cstheme="minorHAnsi"/>
                <w:b w:val="0"/>
                <w:bCs w:val="0"/>
                <w:color w:val="000000"/>
                <w:sz w:val="24"/>
                <w:szCs w:val="24"/>
                <w:lang w:val="es-CR"/>
              </w:rPr>
            </w:pPr>
            <w:r w:rsidRPr="00A333F5">
              <w:rPr>
                <w:rFonts w:cstheme="minorHAnsi"/>
                <w:b w:val="0"/>
                <w:bCs w:val="0"/>
                <w:color w:val="000000"/>
                <w:sz w:val="24"/>
                <w:szCs w:val="24"/>
                <w:lang w:val="es-CR"/>
              </w:rPr>
              <w:t>¿Si corresponde, se siguió el procedimiento sancionatorio y se aplicaron las sanciones a particulares según lo establecido en los Artículos del 118 al 123 de la Ley N°9986?</w:t>
            </w:r>
          </w:p>
        </w:tc>
        <w:tc>
          <w:tcPr>
            <w:tcW w:w="313" w:type="pct"/>
          </w:tcPr>
          <w:p w14:paraId="1A3E52FE"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41" w:type="pct"/>
          </w:tcPr>
          <w:p w14:paraId="64029FF4"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337" w:type="pct"/>
          </w:tcPr>
          <w:p w14:paraId="53BF50FF" w14:textId="77777777" w:rsidR="00A502A0" w:rsidRPr="00A333F5" w:rsidRDefault="00A502A0">
            <w:pPr>
              <w:widowControl w:val="0"/>
              <w:spacing w:before="240"/>
              <w:contextualSpacing w:val="0"/>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c>
          <w:tcPr>
            <w:tcW w:w="1778" w:type="pct"/>
          </w:tcPr>
          <w:p w14:paraId="6D931C0D" w14:textId="77777777" w:rsidR="00A502A0" w:rsidRPr="00A333F5" w:rsidRDefault="00A502A0">
            <w:pPr>
              <w:widowControl w:val="0"/>
              <w:spacing w:before="240"/>
              <w:contextualSpacing w:val="0"/>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s-CR"/>
              </w:rPr>
            </w:pPr>
          </w:p>
        </w:tc>
      </w:tr>
    </w:tbl>
    <w:p w14:paraId="301EB731" w14:textId="77777777" w:rsidR="00A502A0" w:rsidRPr="00A333F5" w:rsidRDefault="00000000">
      <w:pPr>
        <w:spacing w:before="240" w:after="160"/>
        <w:contextualSpacing w:val="0"/>
        <w:rPr>
          <w:rFonts w:cstheme="minorHAnsi"/>
          <w:sz w:val="18"/>
          <w:szCs w:val="18"/>
          <w:lang w:val="es-CR"/>
        </w:rPr>
      </w:pPr>
      <w:r w:rsidRPr="00A333F5">
        <w:rPr>
          <w:rFonts w:cstheme="minorHAnsi"/>
          <w:lang w:val="es-CR"/>
        </w:rPr>
        <w:t xml:space="preserve">Nota: </w:t>
      </w:r>
    </w:p>
    <w:p w14:paraId="256691E4" w14:textId="77777777" w:rsidR="00A502A0" w:rsidRPr="00A333F5" w:rsidRDefault="00000000">
      <w:pPr>
        <w:jc w:val="both"/>
        <w:rPr>
          <w:rFonts w:cstheme="minorHAnsi"/>
          <w:lang w:val="es-CR"/>
        </w:rPr>
      </w:pPr>
      <w:r w:rsidRPr="00A333F5">
        <w:rPr>
          <w:rFonts w:eastAsia="Calibri" w:cstheme="minorHAnsi"/>
          <w:color w:val="111111"/>
          <w:sz w:val="24"/>
          <w:szCs w:val="18"/>
          <w:lang w:val="es-CR"/>
        </w:rPr>
        <w:t>T</w:t>
      </w:r>
      <w:r w:rsidRPr="00A333F5">
        <w:rPr>
          <w:rFonts w:eastAsia="Calibri" w:cstheme="minorHAnsi"/>
          <w:color w:val="111111"/>
          <w:sz w:val="18"/>
          <w:szCs w:val="18"/>
          <w:lang w:val="es-CR"/>
        </w:rPr>
        <w:t xml:space="preserve">oda gestión que formule el contratista, que sea necesaria para la continuidad de la ejecución del contrato, deberá ser resuelta y comunicada por la Administración dentro de un plazo máximo de diez días hábiles contado a partir del recibo de la solicitud, salvo plazo distinto debidamente justificado y contemplado en el pliego de condiciones o en el contrato. Las restantes peticiones que formule el contratista serán resueltas y comunicadas en un plazo máximo de treinta días hábiles. La inobservancia de los plazos anteriores originará responsabilidad administrativa del funcionario incumpliente. </w:t>
      </w:r>
      <w:r w:rsidRPr="00A333F5">
        <w:rPr>
          <w:rFonts w:eastAsia="Calibri" w:cstheme="minorHAnsi"/>
          <w:color w:val="0F0F10"/>
          <w:sz w:val="18"/>
          <w:szCs w:val="18"/>
          <w:lang w:val="es-CR"/>
        </w:rPr>
        <w:t xml:space="preserve">La Administración está obligada a cumplir con todos los compromisos adquiridos válidamente en la contratación pública y a realizar las gestiones pertinentes de forma oportuna para que el contratista ejecute en forma idónea el objeto pactado. </w:t>
      </w:r>
      <w:r w:rsidRPr="00A333F5">
        <w:rPr>
          <w:rFonts w:eastAsia="Calibri" w:cstheme="minorHAnsi"/>
          <w:color w:val="151516"/>
          <w:sz w:val="18"/>
          <w:szCs w:val="18"/>
          <w:lang w:val="es-CR"/>
        </w:rPr>
        <w:t>El silencio de la Administración se entenderá como aceptación de la petición, cuando se trate de una autorización admisible en derecho y se haya cumplido con todos los requisitos (Art. 12 Ley N°9986 y Art. 23 del Reglamento).</w:t>
      </w:r>
    </w:p>
    <w:p w14:paraId="6AF7AF6B" w14:textId="77777777" w:rsidR="00A502A0" w:rsidRPr="00A333F5" w:rsidRDefault="00A502A0">
      <w:pPr>
        <w:jc w:val="both"/>
        <w:rPr>
          <w:rFonts w:eastAsia="Calibri" w:cstheme="minorHAnsi"/>
          <w:color w:val="151516"/>
          <w:sz w:val="18"/>
          <w:szCs w:val="18"/>
          <w:lang w:val="es-CR"/>
        </w:rPr>
      </w:pPr>
    </w:p>
    <w:p w14:paraId="3B1182AC" w14:textId="77777777" w:rsidR="00A502A0" w:rsidRPr="00A333F5" w:rsidRDefault="00000000">
      <w:pPr>
        <w:jc w:val="both"/>
        <w:rPr>
          <w:rFonts w:eastAsia="Calibri" w:cstheme="minorHAnsi"/>
          <w:color w:val="151516"/>
          <w:sz w:val="18"/>
          <w:szCs w:val="18"/>
          <w:lang w:val="es-CR"/>
        </w:rPr>
      </w:pPr>
      <w:r w:rsidRPr="00A333F5">
        <w:rPr>
          <w:rFonts w:cstheme="minorHAnsi"/>
          <w:lang w:val="es-CR"/>
        </w:rPr>
        <w:br w:type="page"/>
      </w:r>
    </w:p>
    <w:p w14:paraId="29CEE26B" w14:textId="77777777" w:rsidR="00A502A0" w:rsidRPr="00A333F5" w:rsidRDefault="00A502A0">
      <w:pPr>
        <w:jc w:val="both"/>
        <w:rPr>
          <w:rFonts w:eastAsia="Calibri" w:cstheme="minorHAnsi"/>
          <w:color w:val="151516"/>
          <w:sz w:val="18"/>
          <w:szCs w:val="18"/>
          <w:lang w:val="es-CR"/>
        </w:rPr>
      </w:pPr>
    </w:p>
    <w:p w14:paraId="00D0E5DC" w14:textId="77777777" w:rsidR="00A502A0" w:rsidRPr="00A333F5" w:rsidRDefault="00000000">
      <w:pPr>
        <w:jc w:val="center"/>
        <w:rPr>
          <w:rFonts w:eastAsia="Calibri" w:cstheme="minorHAnsi"/>
          <w:color w:val="151516"/>
          <w:lang w:val="es-CR"/>
        </w:rPr>
      </w:pPr>
      <w:r w:rsidRPr="00A333F5">
        <w:rPr>
          <w:rFonts w:eastAsia="Calibri" w:cstheme="minorHAnsi"/>
          <w:b/>
          <w:bCs/>
          <w:color w:val="151516"/>
          <w:sz w:val="40"/>
          <w:szCs w:val="40"/>
          <w:lang w:val="es-CR"/>
        </w:rPr>
        <w:t>ANEXO 1</w:t>
      </w:r>
    </w:p>
    <w:p w14:paraId="690EEB3B" w14:textId="77777777" w:rsidR="00A502A0" w:rsidRPr="00A333F5" w:rsidRDefault="00A502A0">
      <w:pPr>
        <w:jc w:val="center"/>
        <w:rPr>
          <w:rFonts w:eastAsia="Calibri" w:cstheme="minorHAnsi"/>
          <w:color w:val="151516"/>
          <w:lang w:val="es-CR"/>
        </w:rPr>
      </w:pPr>
    </w:p>
    <w:p w14:paraId="7C632D1E" w14:textId="77777777" w:rsidR="00A502A0" w:rsidRPr="00A333F5" w:rsidRDefault="00000000">
      <w:pPr>
        <w:jc w:val="center"/>
        <w:rPr>
          <w:rFonts w:eastAsia="Calibri" w:cstheme="minorHAnsi"/>
          <w:color w:val="151516"/>
          <w:lang w:val="es-CR"/>
        </w:rPr>
      </w:pPr>
      <w:r w:rsidRPr="00A333F5">
        <w:rPr>
          <w:rFonts w:eastAsia="Calibri" w:cstheme="minorHAnsi"/>
          <w:b/>
          <w:bCs/>
          <w:color w:val="151516"/>
          <w:lang w:val="es-CR"/>
        </w:rPr>
        <w:t xml:space="preserve">R-DC-00132-2022. CONTRALORÍA GENERAL DE LA REPÚBLICA. Despacho Contralor General. San José a las trece horas con cuarenta y tres minutos del doce de diciembre de dos mil veintidós. </w:t>
      </w:r>
    </w:p>
    <w:p w14:paraId="03C6D8C7" w14:textId="77777777" w:rsidR="00A502A0" w:rsidRPr="00A333F5" w:rsidRDefault="00A502A0">
      <w:pPr>
        <w:jc w:val="center"/>
        <w:rPr>
          <w:rFonts w:eastAsia="Calibri" w:cstheme="minorHAnsi"/>
          <w:color w:val="151516"/>
          <w:lang w:val="es-CR"/>
        </w:rPr>
      </w:pPr>
    </w:p>
    <w:p w14:paraId="7E770DF3" w14:textId="77777777" w:rsidR="00A502A0" w:rsidRPr="00A333F5" w:rsidRDefault="00000000">
      <w:pPr>
        <w:rPr>
          <w:rFonts w:eastAsia="Calibri" w:cstheme="minorHAnsi"/>
          <w:color w:val="151516"/>
          <w:lang w:val="es-CR"/>
        </w:rPr>
      </w:pPr>
      <w:r w:rsidRPr="00A333F5">
        <w:rPr>
          <w:rFonts w:eastAsia="Calibri" w:cstheme="minorHAnsi"/>
          <w:b/>
          <w:bCs/>
          <w:color w:val="151516"/>
          <w:sz w:val="20"/>
          <w:szCs w:val="20"/>
          <w:lang w:val="es-CR"/>
        </w:rPr>
        <w:t>(…)</w:t>
      </w:r>
    </w:p>
    <w:p w14:paraId="385F244E" w14:textId="77777777" w:rsidR="00A502A0" w:rsidRPr="00A333F5" w:rsidRDefault="00A502A0">
      <w:pPr>
        <w:rPr>
          <w:rFonts w:eastAsia="Calibri" w:cstheme="minorHAnsi"/>
          <w:color w:val="151516"/>
          <w:lang w:val="es-CR"/>
        </w:rPr>
      </w:pPr>
    </w:p>
    <w:p w14:paraId="35009615" w14:textId="77777777" w:rsidR="00A502A0" w:rsidRPr="00A333F5" w:rsidRDefault="00000000">
      <w:pPr>
        <w:jc w:val="both"/>
        <w:rPr>
          <w:rFonts w:eastAsia="Calibri" w:cstheme="minorHAnsi"/>
          <w:color w:val="151516"/>
          <w:lang w:val="es-CR"/>
        </w:rPr>
      </w:pPr>
      <w:r w:rsidRPr="00A333F5">
        <w:rPr>
          <w:rFonts w:eastAsia="Calibri" w:cstheme="minorHAnsi"/>
          <w:color w:val="151516"/>
          <w:sz w:val="20"/>
          <w:szCs w:val="20"/>
          <w:lang w:val="es-CR"/>
        </w:rPr>
        <w:t xml:space="preserve">POR TANTO SE RESUELVE: I.- Actualizar los umbrales de los procedimientos de contratación del artículo 36 de la Ley General de Contratación Pública de conformidad con lo que se indica en la siguiente tabla: </w:t>
      </w:r>
    </w:p>
    <w:p w14:paraId="728A83FC" w14:textId="77777777" w:rsidR="00A502A0" w:rsidRPr="00A333F5" w:rsidRDefault="00A502A0">
      <w:pPr>
        <w:jc w:val="both"/>
        <w:rPr>
          <w:rFonts w:eastAsia="Calibri" w:cstheme="minorHAnsi"/>
          <w:color w:val="151516"/>
          <w:lang w:val="es-CR"/>
        </w:rPr>
      </w:pPr>
    </w:p>
    <w:p w14:paraId="46F64B04" w14:textId="77777777" w:rsidR="00A502A0" w:rsidRPr="00A333F5" w:rsidRDefault="00A502A0">
      <w:pPr>
        <w:jc w:val="both"/>
        <w:rPr>
          <w:rFonts w:cstheme="minorHAnsi"/>
          <w:lang w:val="es-CR"/>
        </w:rPr>
      </w:pPr>
    </w:p>
    <w:p w14:paraId="71A8A4A7" w14:textId="77777777" w:rsidR="00A502A0" w:rsidRPr="00A333F5" w:rsidRDefault="00000000">
      <w:pPr>
        <w:jc w:val="both"/>
        <w:rPr>
          <w:rFonts w:eastAsia="Calibri" w:cstheme="minorHAnsi"/>
          <w:lang w:val="es-CR"/>
        </w:rPr>
      </w:pPr>
      <w:r w:rsidRPr="00A333F5">
        <w:rPr>
          <w:rFonts w:cstheme="minorHAnsi"/>
          <w:noProof/>
        </w:rPr>
        <w:drawing>
          <wp:anchor distT="0" distB="0" distL="0" distR="0" simplePos="0" relativeHeight="173" behindDoc="0" locked="0" layoutInCell="0" allowOverlap="1" wp14:anchorId="2904F182" wp14:editId="3DB1D567">
            <wp:simplePos x="0" y="0"/>
            <wp:positionH relativeFrom="column">
              <wp:align>center</wp:align>
            </wp:positionH>
            <wp:positionV relativeFrom="paragraph">
              <wp:posOffset>635</wp:posOffset>
            </wp:positionV>
            <wp:extent cx="6366510" cy="4269740"/>
            <wp:effectExtent l="0" t="0" r="0" b="0"/>
            <wp:wrapSquare wrapText="largest"/>
            <wp:docPr id="1"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a:blip r:embed="rId11"/>
                    <a:stretch>
                      <a:fillRect/>
                    </a:stretch>
                  </pic:blipFill>
                  <pic:spPr bwMode="auto">
                    <a:xfrm>
                      <a:off x="0" y="0"/>
                      <a:ext cx="6366510" cy="4269740"/>
                    </a:xfrm>
                    <a:prstGeom prst="rect">
                      <a:avLst/>
                    </a:prstGeom>
                  </pic:spPr>
                </pic:pic>
              </a:graphicData>
            </a:graphic>
          </wp:anchor>
        </w:drawing>
      </w:r>
      <w:r w:rsidRPr="00A333F5">
        <w:rPr>
          <w:rFonts w:cstheme="minorHAnsi"/>
          <w:color w:val="000000"/>
          <w:lang w:val="es-CR"/>
        </w:rPr>
        <w:t xml:space="preserve">Nota: </w:t>
      </w:r>
    </w:p>
    <w:p w14:paraId="6DC19074" w14:textId="77777777" w:rsidR="00A502A0" w:rsidRPr="00A333F5" w:rsidRDefault="00A502A0">
      <w:pPr>
        <w:jc w:val="both"/>
        <w:rPr>
          <w:rFonts w:eastAsia="Calibri" w:cstheme="minorHAnsi"/>
          <w:color w:val="151516"/>
          <w:sz w:val="18"/>
          <w:szCs w:val="18"/>
          <w:lang w:val="es-CR"/>
        </w:rPr>
      </w:pPr>
    </w:p>
    <w:p w14:paraId="35CFA0A9" w14:textId="77777777" w:rsidR="00A502A0" w:rsidRPr="00A333F5" w:rsidRDefault="00000000">
      <w:pPr>
        <w:jc w:val="both"/>
        <w:rPr>
          <w:rFonts w:eastAsia="Calibri" w:cstheme="minorHAnsi"/>
          <w:color w:val="151516"/>
          <w:sz w:val="18"/>
          <w:szCs w:val="18"/>
          <w:lang w:val="es-CR"/>
        </w:rPr>
      </w:pPr>
      <w:r w:rsidRPr="00A333F5">
        <w:rPr>
          <w:rFonts w:eastAsia="Calibri" w:cstheme="minorHAnsi"/>
          <w:color w:val="151516"/>
          <w:sz w:val="18"/>
          <w:szCs w:val="18"/>
          <w:lang w:val="es-CR"/>
        </w:rPr>
        <w:t>El monto de los umbrales será actualizado por la Contraloría General de la República, en la segunda quincena del mes de diciembre, utilizando el monto de las unidades de desarrollo establecido por el Banco Central de Costa Rica para el 15 de diciembre de cada año y regirán del 1 º de enero al 31 de diciembre del año siguiente a su publicación.</w:t>
      </w:r>
    </w:p>
    <w:p w14:paraId="79534A3C" w14:textId="77777777" w:rsidR="00A502A0" w:rsidRPr="00A333F5" w:rsidRDefault="00A502A0">
      <w:pPr>
        <w:jc w:val="both"/>
        <w:rPr>
          <w:rFonts w:eastAsia="Calibri" w:cstheme="minorHAnsi"/>
          <w:color w:val="151516"/>
          <w:sz w:val="18"/>
          <w:szCs w:val="18"/>
          <w:lang w:val="es-CR"/>
        </w:rPr>
      </w:pPr>
    </w:p>
    <w:p w14:paraId="0B53CDA5" w14:textId="77777777" w:rsidR="00A502A0" w:rsidRPr="00A333F5" w:rsidRDefault="00000000">
      <w:pPr>
        <w:jc w:val="both"/>
        <w:rPr>
          <w:rFonts w:eastAsia="Calibri" w:cstheme="minorHAnsi"/>
          <w:color w:val="151516"/>
          <w:sz w:val="18"/>
          <w:szCs w:val="18"/>
          <w:lang w:val="es-CR"/>
        </w:rPr>
      </w:pPr>
      <w:r w:rsidRPr="00A333F5">
        <w:rPr>
          <w:rFonts w:eastAsia="Calibri" w:cstheme="minorHAnsi"/>
          <w:color w:val="151516"/>
          <w:sz w:val="18"/>
          <w:szCs w:val="18"/>
          <w:lang w:val="es-CR"/>
        </w:rPr>
        <w:t>Ante situaciones extraordinarias en las condiciones macroeconómicas del país o en el comportamiento de las compras públicas, la Contraloría General de la República podrá modificar, mediante resolución motivada, los umbrales establecidos en el Artículo 11 de la Ley  N°9986.</w:t>
      </w:r>
    </w:p>
    <w:sectPr w:rsidR="00A502A0" w:rsidRPr="00A333F5">
      <w:headerReference w:type="even" r:id="rId12"/>
      <w:headerReference w:type="default" r:id="rId13"/>
      <w:footerReference w:type="even" r:id="rId14"/>
      <w:footerReference w:type="default" r:id="rId15"/>
      <w:headerReference w:type="first" r:id="rId16"/>
      <w:footerReference w:type="first" r:id="rId17"/>
      <w:pgSz w:w="12240" w:h="15840"/>
      <w:pgMar w:top="1418" w:right="1183" w:bottom="1417" w:left="1031" w:header="709" w:footer="708" w:gutter="0"/>
      <w:cols w:space="720"/>
      <w:formProt w:val="0"/>
      <w:docGrid w:linePitch="360" w:charSpace="12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9AFFBB" w14:textId="77777777" w:rsidR="00673CF8" w:rsidRDefault="00673CF8">
      <w:r>
        <w:separator/>
      </w:r>
    </w:p>
  </w:endnote>
  <w:endnote w:type="continuationSeparator" w:id="0">
    <w:p w14:paraId="0185DDF1" w14:textId="77777777" w:rsidR="00673CF8" w:rsidRDefault="00673C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rial Rounded MT Std">
    <w:altName w:val="Arial"/>
    <w:panose1 w:val="00000000000000000000"/>
    <w:charset w:val="00"/>
    <w:family w:val="swiss"/>
    <w:notTrueType/>
    <w:pitch w:val="variable"/>
    <w:sig w:usb0="00000003" w:usb1="4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93627707"/>
      <w:docPartObj>
        <w:docPartGallery w:val="Page Numbers (Bottom of Page)"/>
        <w:docPartUnique/>
      </w:docPartObj>
    </w:sdtPr>
    <w:sdtContent>
      <w:p w14:paraId="63938328" w14:textId="77777777" w:rsidR="00A502A0" w:rsidRDefault="00000000">
        <w:pPr>
          <w:pStyle w:val="Piedepgina"/>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t>0</w:t>
        </w:r>
        <w:r>
          <w:rPr>
            <w:rStyle w:val="Nmerodepgina"/>
          </w:rPr>
          <w:fldChar w:fldCharType="end"/>
        </w:r>
      </w:p>
    </w:sdtContent>
  </w:sdt>
  <w:p w14:paraId="2D1B7032" w14:textId="77777777" w:rsidR="00A502A0" w:rsidRDefault="00A502A0">
    <w:pPr>
      <w:pStyle w:val="Piedepgin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FAE43" w14:textId="77777777" w:rsidR="00A502A0" w:rsidRDefault="00A502A0">
    <w:pPr>
      <w:pStyle w:val="Piedepgina"/>
      <w:ind w:right="360"/>
      <w:rPr>
        <w:rStyle w:val="Nmerodepgina"/>
        <w:lang w:val="es-CR"/>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D5A39" w14:textId="77777777" w:rsidR="00A502A0" w:rsidRDefault="00A502A0">
    <w:pPr>
      <w:pStyle w:val="Piedepgina"/>
      <w:ind w:right="360"/>
      <w:rPr>
        <w:rStyle w:val="Nmerodepgina"/>
        <w:lang w:val="es-C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E84C19" w14:textId="77777777" w:rsidR="00673CF8" w:rsidRDefault="00673CF8">
      <w:r>
        <w:separator/>
      </w:r>
    </w:p>
  </w:footnote>
  <w:footnote w:type="continuationSeparator" w:id="0">
    <w:p w14:paraId="4924C078" w14:textId="77777777" w:rsidR="00673CF8" w:rsidRDefault="00673C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7874544"/>
      <w:docPartObj>
        <w:docPartGallery w:val="Page Numbers (Top of Page)"/>
        <w:docPartUnique/>
      </w:docPartObj>
    </w:sdtPr>
    <w:sdtContent>
      <w:p w14:paraId="59D9613D" w14:textId="77777777" w:rsidR="00A502A0" w:rsidRDefault="00000000">
        <w:pPr>
          <w:pStyle w:val="Encabezado"/>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t>0</w:t>
        </w:r>
        <w:r>
          <w:rPr>
            <w:rStyle w:val="Nmerodepgina"/>
          </w:rPr>
          <w:fldChar w:fldCharType="end"/>
        </w:r>
      </w:p>
    </w:sdtContent>
  </w:sdt>
  <w:p w14:paraId="0374547B" w14:textId="77777777" w:rsidR="00A502A0" w:rsidRDefault="00A502A0">
    <w:pPr>
      <w:pStyle w:val="Encabezado"/>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A82B3" w14:textId="77777777" w:rsidR="00A502A0" w:rsidRDefault="00000000">
    <w:pPr>
      <w:pStyle w:val="Encabezado"/>
      <w:rPr>
        <w:rStyle w:val="Nmerodepgina"/>
      </w:rPr>
    </w:pPr>
    <w:r>
      <w:rPr>
        <w:noProof/>
      </w:rPr>
      <mc:AlternateContent>
        <mc:Choice Requires="wps">
          <w:drawing>
            <wp:anchor distT="0" distB="0" distL="635" distR="0" simplePos="0" relativeHeight="251654144" behindDoc="1" locked="0" layoutInCell="0" allowOverlap="1" wp14:anchorId="006AE74C" wp14:editId="2037F8DF">
              <wp:simplePos x="0" y="0"/>
              <wp:positionH relativeFrom="column">
                <wp:posOffset>-1105535</wp:posOffset>
              </wp:positionH>
              <wp:positionV relativeFrom="paragraph">
                <wp:posOffset>9247505</wp:posOffset>
              </wp:positionV>
              <wp:extent cx="7817485" cy="410210"/>
              <wp:effectExtent l="635" t="0" r="0" b="0"/>
              <wp:wrapNone/>
              <wp:docPr id="2" name="Rectángulo 2"/>
              <wp:cNvGraphicFramePr/>
              <a:graphic xmlns:a="http://schemas.openxmlformats.org/drawingml/2006/main">
                <a:graphicData uri="http://schemas.microsoft.com/office/word/2010/wordprocessingShape">
                  <wps:wsp>
                    <wps:cNvSpPr/>
                    <wps:spPr>
                      <a:xfrm>
                        <a:off x="0" y="0"/>
                        <a:ext cx="7817400" cy="410040"/>
                      </a:xfrm>
                      <a:prstGeom prst="rect">
                        <a:avLst/>
                      </a:prstGeom>
                      <a:solidFill>
                        <a:srgbClr val="00B7D0"/>
                      </a:solidFill>
                      <a:ln>
                        <a:noFill/>
                      </a:ln>
                    </wps:spPr>
                    <wps:style>
                      <a:lnRef idx="2">
                        <a:schemeClr val="accent1">
                          <a:shade val="50000"/>
                        </a:schemeClr>
                      </a:lnRef>
                      <a:fillRef idx="1">
                        <a:schemeClr val="accent1"/>
                      </a:fillRef>
                      <a:effectRef idx="0">
                        <a:schemeClr val="accent1"/>
                      </a:effectRef>
                      <a:fontRef idx="minor"/>
                    </wps:style>
                    <wps:bodyPr/>
                  </wps:wsp>
                </a:graphicData>
              </a:graphic>
            </wp:anchor>
          </w:drawing>
        </mc:Choice>
        <mc:Fallback>
          <w:pict>
            <v:rect w14:anchorId="74A1761C" id="Rectángulo 2" o:spid="_x0000_s1026" style="position:absolute;margin-left:-87.05pt;margin-top:728.15pt;width:615.55pt;height:32.3pt;z-index:-251662336;visibility:visible;mso-wrap-style:square;mso-wrap-distance-left:.05pt;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kquygEAAOUDAAAOAAAAZHJzL2Uyb0RvYy54bWysU02PEzEMvSPxH6Lc6WSqQldVpytBtVwQ&#10;IBZ+QJpxOpHypSR02n+P4+nOFlbigOghtWP7+fnFs70/O8tOkLIJvuPtQnAGXoXe+GPHf3x/eHPH&#10;WS7S99IGDx2/QOb3u9evtmPcwDIMwfaQGIL4vBljx4dS4qZpshrAybwIETwGdUhOFnTTsemTHBHd&#10;2WYpxLtmDKmPKSjIGW/3U5DvCF9rUOWL1hkKsx1HboXOROehns1uKzfHJONg1JWG/AcWThqPTWeo&#10;vSyS/UzmBZQzKoUcdFmo4JqgtVFAM+A0rfhjmsdBRqBZUJwcZ5ny/4NVn0+P8WtCGcaYNxnNOsVZ&#10;J1f/kR87k1iXWSw4F6bwcn3XrlcCNVUYW7VCrEjN5rk6plw+QnCsGh1P+BikkTx9ygU7YupTSm2W&#10;gzX9g7GWnHQ8fLCJnWR9OPF+vX9C/y3N+prsQy2bEOtN8zwLWeVioeZZ/w00Mz2yXxITWjOY+0il&#10;wJd2Cg2yh6n9W4G/uilIeK4gjwArssb+M/YVoK7wS+wJ5ppfS4G2dC4WfyM2Fc8V1Dn4Mhc740Mi&#10;pjdzV/MQ+gu9MkmDu0T0r3tfl/XWR/v269z9AgAA//8DAFBLAwQUAAYACAAAACEArqp2oOYAAAAP&#10;AQAADwAAAGRycy9kb3ducmV2LnhtbEyPS0/DMBCE70j8B2uRuKDWTkj6CHEqoFTiQA9Ny91NnIca&#10;25HtJuHfsz3BbUfzaXYm3UyqI4O0rjWaQzBnQKQuTNnqmsPpuJutgDgvdCk6oyWHH+lgk93fpSIp&#10;zagPcsh9TTBEu0RwaLzvE0pd0Ugl3Nz0UqNXGauER2lrWloxYrjqaMjYgirRavzQiF6+N7K45FfF&#10;YTx+hvtt/va1P0Xrrf2ohsvTd8X548P0+gLEy8n/wXCrj9Uhw05nc9WlIx2HWbCMAmTRieLFM5Ab&#10;w+IlDjzjFYdsDTRL6f8d2S8AAAD//wMAUEsBAi0AFAAGAAgAAAAhALaDOJL+AAAA4QEAABMAAAAA&#10;AAAAAAAAAAAAAAAAAFtDb250ZW50X1R5cGVzXS54bWxQSwECLQAUAAYACAAAACEAOP0h/9YAAACU&#10;AQAACwAAAAAAAAAAAAAAAAAvAQAAX3JlbHMvLnJlbHNQSwECLQAUAAYACAAAACEAKYpKrsoBAADl&#10;AwAADgAAAAAAAAAAAAAAAAAuAgAAZHJzL2Uyb0RvYy54bWxQSwECLQAUAAYACAAAACEArqp2oOYA&#10;AAAPAQAADwAAAAAAAAAAAAAAAAAkBAAAZHJzL2Rvd25yZXYueG1sUEsFBgAAAAAEAAQA8wAAADcF&#10;AAAAAA==&#10;" o:allowincell="f" fillcolor="#00b7d0" stroked="f" strokeweight="1pt"/>
          </w:pict>
        </mc:Fallback>
      </mc:AlternateContent>
    </w:r>
    <w:r>
      <w:rPr>
        <w:noProof/>
      </w:rPr>
      <w:drawing>
        <wp:anchor distT="0" distB="0" distL="0" distR="0" simplePos="0" relativeHeight="251656192" behindDoc="1" locked="0" layoutInCell="0" allowOverlap="1" wp14:anchorId="1E534793" wp14:editId="7BED9918">
          <wp:simplePos x="0" y="0"/>
          <wp:positionH relativeFrom="column">
            <wp:posOffset>35560</wp:posOffset>
          </wp:positionH>
          <wp:positionV relativeFrom="paragraph">
            <wp:posOffset>-292100</wp:posOffset>
          </wp:positionV>
          <wp:extent cx="958215" cy="636270"/>
          <wp:effectExtent l="0" t="0" r="0" b="0"/>
          <wp:wrapNone/>
          <wp:docPr id="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4"/>
                  <pic:cNvPicPr>
                    <a:picLocks noChangeAspect="1" noChangeArrowheads="1"/>
                  </pic:cNvPicPr>
                </pic:nvPicPr>
                <pic:blipFill>
                  <a:blip r:embed="rId1"/>
                  <a:stretch>
                    <a:fillRect/>
                  </a:stretch>
                </pic:blipFill>
                <pic:spPr bwMode="auto">
                  <a:xfrm>
                    <a:off x="0" y="0"/>
                    <a:ext cx="958215" cy="636270"/>
                  </a:xfrm>
                  <a:prstGeom prst="rect">
                    <a:avLst/>
                  </a:prstGeom>
                </pic:spPr>
              </pic:pic>
            </a:graphicData>
          </a:graphic>
        </wp:anchor>
      </w:drawing>
    </w:r>
    <w:r>
      <w:rPr>
        <w:noProof/>
      </w:rPr>
      <mc:AlternateContent>
        <mc:Choice Requires="wps">
          <w:drawing>
            <wp:anchor distT="0" distB="0" distL="0" distR="0" simplePos="0" relativeHeight="251658240" behindDoc="1" locked="0" layoutInCell="0" allowOverlap="1" wp14:anchorId="6517293C" wp14:editId="4495E09A">
              <wp:simplePos x="0" y="0"/>
              <wp:positionH relativeFrom="column">
                <wp:posOffset>6257925</wp:posOffset>
              </wp:positionH>
              <wp:positionV relativeFrom="paragraph">
                <wp:posOffset>9312275</wp:posOffset>
              </wp:positionV>
              <wp:extent cx="261620" cy="233045"/>
              <wp:effectExtent l="0" t="0" r="0" b="0"/>
              <wp:wrapNone/>
              <wp:docPr id="4" name="Cuadro de texto 5"/>
              <wp:cNvGraphicFramePr/>
              <a:graphic xmlns:a="http://schemas.openxmlformats.org/drawingml/2006/main">
                <a:graphicData uri="http://schemas.microsoft.com/office/word/2010/wordprocessingShape">
                  <wps:wsp>
                    <wps:cNvSpPr/>
                    <wps:spPr>
                      <a:xfrm>
                        <a:off x="0" y="0"/>
                        <a:ext cx="261720" cy="232920"/>
                      </a:xfrm>
                      <a:prstGeom prst="rect">
                        <a:avLst/>
                      </a:prstGeom>
                      <a:noFill/>
                      <a:ln w="6350">
                        <a:noFill/>
                      </a:ln>
                    </wps:spPr>
                    <wps:style>
                      <a:lnRef idx="0">
                        <a:scrgbClr r="0" g="0" b="0"/>
                      </a:lnRef>
                      <a:fillRef idx="0">
                        <a:scrgbClr r="0" g="0" b="0"/>
                      </a:fillRef>
                      <a:effectRef idx="0">
                        <a:scrgbClr r="0" g="0" b="0"/>
                      </a:effectRef>
                      <a:fontRef idx="minor"/>
                    </wps:style>
                    <wps:txbx>
                      <w:txbxContent>
                        <w:sdt>
                          <w:sdtPr>
                            <w:id w:val="547550851"/>
                            <w:docPartObj>
                              <w:docPartGallery w:val="Page Numbers (Top of Page)"/>
                              <w:docPartUnique/>
                            </w:docPartObj>
                          </w:sdtPr>
                          <w:sdtContent>
                            <w:p w14:paraId="28967B43" w14:textId="77777777" w:rsidR="00A502A0" w:rsidRDefault="00000000">
                              <w:pPr>
                                <w:pStyle w:val="Contenidodelmarco"/>
                                <w:rPr>
                                  <w:rFonts w:ascii="Arial" w:hAnsi="Arial" w:cs="Arial"/>
                                  <w:color w:val="FFFFFF"/>
                                  <w:sz w:val="21"/>
                                  <w:szCs w:val="21"/>
                                </w:rPr>
                              </w:pPr>
                            </w:p>
                          </w:sdtContent>
                        </w:sdt>
                      </w:txbxContent>
                    </wps:txbx>
                    <wps:bodyPr anchor="ctr">
                      <a:prstTxWarp prst="textNoShape">
                        <a:avLst/>
                      </a:prstTxWarp>
                      <a:noAutofit/>
                    </wps:bodyPr>
                  </wps:wsp>
                </a:graphicData>
              </a:graphic>
            </wp:anchor>
          </w:drawing>
        </mc:Choice>
        <mc:Fallback>
          <w:pict>
            <v:rect w14:anchorId="6517293C" id="Cuadro de texto 5" o:spid="_x0000_s1026" style="position:absolute;margin-left:492.75pt;margin-top:733.25pt;width:20.6pt;height:18.35pt;z-index:-251658240;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0LD1wEAABYEAAAOAAAAZHJzL2Uyb0RvYy54bWysU8Fu2zAMvQ/YPwi6L3ZcLFuNOMWworsM&#10;XbF22FmRpViALAqUGjt/P0p2nKI7ddhFpkW+R/KR2t6MvWVHhcGAa/h6VXKmnITWuEPDfz3dffjM&#10;WYjCtcKCUw0/qcBvdu/fbQdfqwo6sK1CRiQu1INveBejr4siyE71IqzAK0dODdiLSL94KFoUA7H3&#10;tqjKclMMgK1HkCoEur2dnHyX+bVWMv7QOqjIbMOptphPzOc+ncVuK+oDCt8ZOZch/qGKXhhHSReq&#10;WxEFe0bzF1VvJEIAHVcS+gK0NlLlHqibdfmqm8dOeJV7IXGCX2QK/49W3h8f/QOSDIMPdSAzdTFq&#10;7NOX6mNjFuu0iKXGyCRdVpv1p4okleSqrqprsomluIA9hvhNQc+S0XCkWWSJxPF7iFPoOSTlcnBn&#10;rM3zsI4NDd9cfSwzYPEQuXWU41JqtuLJqsRg3U+lmWlzxekiSDzsv1pk08BpI6ne89gzGQFSoKbM&#10;b8TOkIRWec/eiF9AOT+4uOB74wCzli+6S2Yc9+M8qD20pwdkwskOqDkZMSuV9Hwafwv0s+iRpnUP&#10;5z0S9Svtp9hUgYMvzxG0yYNJyaYMs9i0fHm080NJ2/3yP0ddnvPuDwAAAP//AwBQSwMEFAAGAAgA&#10;AAAhAMzQRr7kAAAADgEAAA8AAABkcnMvZG93bnJldi54bWxMj8FOwzAQRO9I/IO1SNyo3UBCCXEq&#10;WoE4VZBSgbi58RJHxHaI3Tb9e7YnuM1qnmZnivloO7bHIbTeSZhOBDB0tdetayRs3p6uZsBCVE6r&#10;zjuUcMQA8/L8rFC59gdX4X4dG0YhLuRKgomxzzkPtUGrwsT36Mj78oNVkc6h4XpQBwq3HU+EyLhV&#10;raMPRvW4NFh/r3dWwmrzutBt9WKOP8/Lx/fpR98uqk8pLy/Gh3tgEcf4B8OpPlWHkjpt/c7pwDoJ&#10;d7M0JZSMmywjdUJEkt0C25JKxXUCvCz4/xnlLwAAAP//AwBQSwECLQAUAAYACAAAACEAtoM4kv4A&#10;AADhAQAAEwAAAAAAAAAAAAAAAAAAAAAAW0NvbnRlbnRfVHlwZXNdLnhtbFBLAQItABQABgAIAAAA&#10;IQA4/SH/1gAAAJQBAAALAAAAAAAAAAAAAAAAAC8BAABfcmVscy8ucmVsc1BLAQItABQABgAIAAAA&#10;IQDn30LD1wEAABYEAAAOAAAAAAAAAAAAAAAAAC4CAABkcnMvZTJvRG9jLnhtbFBLAQItABQABgAI&#10;AAAAIQDM0Ea+5AAAAA4BAAAPAAAAAAAAAAAAAAAAADEEAABkcnMvZG93bnJldi54bWxQSwUGAAAA&#10;AAQABADzAAAAQgUAAAAA&#10;" o:allowincell="f" filled="f" stroked="f" strokeweight=".5pt">
              <v:textbox>
                <w:txbxContent>
                  <w:sdt>
                    <w:sdtPr>
                      <w:id w:val="547550851"/>
                      <w:docPartObj>
                        <w:docPartGallery w:val="Page Numbers (Top of Page)"/>
                        <w:docPartUnique/>
                      </w:docPartObj>
                    </w:sdtPr>
                    <w:sdtContent>
                      <w:p w14:paraId="28967B43" w14:textId="77777777" w:rsidR="00A502A0" w:rsidRDefault="00000000">
                        <w:pPr>
                          <w:pStyle w:val="Contenidodelmarco"/>
                          <w:rPr>
                            <w:rFonts w:ascii="Arial" w:hAnsi="Arial" w:cs="Arial"/>
                            <w:color w:val="FFFFFF"/>
                            <w:sz w:val="21"/>
                            <w:szCs w:val="21"/>
                          </w:rPr>
                        </w:pPr>
                      </w:p>
                    </w:sdtContent>
                  </w:sdt>
                </w:txbxContent>
              </v:textbox>
            </v:rect>
          </w:pict>
        </mc:Fallback>
      </mc:AlternateContent>
    </w:r>
    <w:r>
      <w:rPr>
        <w:noProof/>
      </w:rPr>
      <mc:AlternateContent>
        <mc:Choice Requires="wps">
          <w:drawing>
            <wp:anchor distT="0" distB="0" distL="0" distR="0" simplePos="0" relativeHeight="251660288" behindDoc="1" locked="0" layoutInCell="0" allowOverlap="1" wp14:anchorId="44D64CCF" wp14:editId="6C4D8B5F">
              <wp:simplePos x="0" y="0"/>
              <wp:positionH relativeFrom="column">
                <wp:posOffset>1805940</wp:posOffset>
              </wp:positionH>
              <wp:positionV relativeFrom="paragraph">
                <wp:posOffset>-177800</wp:posOffset>
              </wp:positionV>
              <wp:extent cx="4486275" cy="673100"/>
              <wp:effectExtent l="0" t="0" r="0" b="0"/>
              <wp:wrapNone/>
              <wp:docPr id="6" name="Cuadro de texto 51"/>
              <wp:cNvGraphicFramePr/>
              <a:graphic xmlns:a="http://schemas.openxmlformats.org/drawingml/2006/main">
                <a:graphicData uri="http://schemas.microsoft.com/office/word/2010/wordprocessingShape">
                  <wps:wsp>
                    <wps:cNvSpPr/>
                    <wps:spPr>
                      <a:xfrm>
                        <a:off x="0" y="0"/>
                        <a:ext cx="4486320" cy="673200"/>
                      </a:xfrm>
                      <a:prstGeom prst="rect">
                        <a:avLst/>
                      </a:prstGeom>
                      <a:noFill/>
                      <a:ln w="6480">
                        <a:noFill/>
                      </a:ln>
                    </wps:spPr>
                    <wps:style>
                      <a:lnRef idx="0">
                        <a:scrgbClr r="0" g="0" b="0"/>
                      </a:lnRef>
                      <a:fillRef idx="0">
                        <a:scrgbClr r="0" g="0" b="0"/>
                      </a:fillRef>
                      <a:effectRef idx="0">
                        <a:scrgbClr r="0" g="0" b="0"/>
                      </a:effectRef>
                      <a:fontRef idx="minor"/>
                    </wps:style>
                    <wps:txbx>
                      <w:txbxContent>
                        <w:p w14:paraId="1032CB6D" w14:textId="77777777" w:rsidR="00A502A0" w:rsidRPr="006F43E4" w:rsidRDefault="00000000">
                          <w:pPr>
                            <w:pStyle w:val="Encabezado"/>
                            <w:rPr>
                              <w:rFonts w:ascii="Arial Rounded MT Bold" w:hAnsi="Arial Rounded MT Bold"/>
                              <w:sz w:val="20"/>
                              <w:szCs w:val="20"/>
                              <w:lang w:val="es-CR"/>
                            </w:rPr>
                          </w:pPr>
                          <w:r w:rsidRPr="006F43E4">
                            <w:rPr>
                              <w:rFonts w:ascii="Arial Rounded MT Bold" w:hAnsi="Arial Rounded MT Bold"/>
                              <w:color w:val="000000"/>
                              <w:sz w:val="20"/>
                              <w:szCs w:val="20"/>
                              <w:lang w:val="es-CR"/>
                            </w:rPr>
                            <w:t>Viceministerio de Planificación Institucional y Coordinación Regional</w:t>
                          </w:r>
                        </w:p>
                        <w:p w14:paraId="07B2D0EB" w14:textId="77777777" w:rsidR="00A502A0" w:rsidRPr="006F43E4" w:rsidRDefault="00000000">
                          <w:pPr>
                            <w:pStyle w:val="Encabezado"/>
                            <w:rPr>
                              <w:rFonts w:ascii="Arial Rounded MT Bold" w:hAnsi="Arial Rounded MT Bold"/>
                              <w:sz w:val="20"/>
                              <w:szCs w:val="20"/>
                              <w:lang w:val="es-CR"/>
                            </w:rPr>
                          </w:pPr>
                          <w:r w:rsidRPr="006F43E4">
                            <w:rPr>
                              <w:rFonts w:ascii="Arial Rounded MT Bold" w:hAnsi="Arial Rounded MT Bold"/>
                              <w:color w:val="000000"/>
                              <w:sz w:val="20"/>
                              <w:szCs w:val="20"/>
                              <w:lang w:val="es-CR"/>
                            </w:rPr>
                            <w:t>Dirección de Gestión y Desarrollo Regional</w:t>
                          </w:r>
                        </w:p>
                        <w:p w14:paraId="72058350" w14:textId="77777777" w:rsidR="00A502A0" w:rsidRDefault="00000000">
                          <w:pPr>
                            <w:pStyle w:val="Encabezado"/>
                            <w:rPr>
                              <w:rFonts w:ascii="Arial Rounded MT Bold" w:hAnsi="Arial Rounded MT Bold"/>
                              <w:sz w:val="20"/>
                              <w:szCs w:val="20"/>
                            </w:rPr>
                          </w:pPr>
                          <w:r>
                            <w:rPr>
                              <w:rFonts w:ascii="Arial Rounded MT Bold" w:hAnsi="Arial Rounded MT Bold"/>
                              <w:color w:val="000000"/>
                              <w:sz w:val="20"/>
                              <w:szCs w:val="20"/>
                            </w:rPr>
                            <w:t>Departamento de Gestión de Juntas</w:t>
                          </w:r>
                        </w:p>
                        <w:p w14:paraId="588B79E4" w14:textId="77777777" w:rsidR="00A502A0" w:rsidRDefault="00A502A0">
                          <w:pPr>
                            <w:pStyle w:val="Encabezado"/>
                            <w:rPr>
                              <w:rFonts w:ascii="Arial Rounded MT Std" w:hAnsi="Arial Rounded MT Std"/>
                              <w:sz w:val="26"/>
                            </w:rPr>
                          </w:pPr>
                        </w:p>
                        <w:p w14:paraId="79CFF3F8" w14:textId="77777777" w:rsidR="00A502A0" w:rsidRDefault="00A502A0">
                          <w:pPr>
                            <w:pStyle w:val="Contenidodelmarco"/>
                            <w:spacing w:after="160"/>
                            <w:contextualSpacing w:val="0"/>
                            <w:rPr>
                              <w:color w:val="000000"/>
                            </w:rPr>
                          </w:pPr>
                        </w:p>
                      </w:txbxContent>
                    </wps:txbx>
                    <wps:bodyPr anchor="t">
                      <a:prstTxWarp prst="textNoShape">
                        <a:avLst/>
                      </a:prstTxWarp>
                      <a:noAutofit/>
                    </wps:bodyPr>
                  </wps:wsp>
                </a:graphicData>
              </a:graphic>
            </wp:anchor>
          </w:drawing>
        </mc:Choice>
        <mc:Fallback>
          <w:pict>
            <v:rect w14:anchorId="44D64CCF" id="Cuadro de texto 51" o:spid="_x0000_s1027" style="position:absolute;margin-left:142.2pt;margin-top:-14pt;width:353.25pt;height:53pt;z-index:-25165619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Hvs2gEAABwEAAAOAAAAZHJzL2Uyb0RvYy54bWysU8GO2yAQvVfqPyDujbNplEZWnFXV1fZS&#10;bVfdrXomGGIkYNDAxs7fd8COU21PW/WCMcN7M+/NsLsdnGUnhdGAb/jNYsmZ8hJa448N//l8/2HL&#10;WUzCt8KCVw0/q8hv9+/f7fpQqxV0YFuFjEh8rPvQ8C6lUFdVlJ1yIi4gKE9BDehEol88Vi2Kntid&#10;rVbL5abqAduAIFWMdHo3Bvm+8GutZPqudVSJ2YZTbamsWNZDXqv9TtRHFKEzcipD/EMVThhPSWeq&#10;O5EEe0HzF5UzEiGCTgsJrgKtjVRFA6m5Wb5S89SJoIoWMieG2ab4/2jlw+kpPCLZ0IdYR9pmFYNG&#10;l79UHxuKWefZLDUkJulwvd5uPq7IU0mxzSfaFjerKzpgTF8VOJY3DUdqRvFInL7FRBnp6uVKTubh&#10;3lhbGmI964l0vV0WwBwhhPUEvNZadulsVWaw/ofSzLSl5HwQJR4PXyyyseM0klTvpe+FjAD5oqbM&#10;b8ROkIxWZdDeiJ9BJT/4NOOd8YB5Mkedo7osNA2HgeTRO8vRfHKA9vyITHjZAWkc/c2mPg+/BIbJ&#10;+UQ9e4DLNIn6VQPGu7kMD59fEmhTunPlnyqhESxNm55LnvE//8ut66Pe/wYAAP//AwBQSwMEFAAG&#10;AAgAAAAhAENzmOrhAAAACgEAAA8AAABkcnMvZG93bnJldi54bWxMj8tOwzAQRfdI/IM1SGxQ6xAq&#10;moQ4FVQgBGJBU8TajYc4wo8QO034e4YVLGfm6M655Wa2hh1xCJ13Ai6XCTB0jVedawW87R8WGbAQ&#10;pVPSeIcCvjHApjo9KWWh/OR2eKxjyyjEhUIK0DH2Beeh0WhlWPoeHd0+/GBlpHFouRrkROHW8DRJ&#10;rrmVnaMPWva41dh81qMVcCHN03T3vJ5fH1/Gq1lv6/v3r06I87P59gZYxDn+wfCrT+pQkdPBj04F&#10;ZgSk2WpFqIBFmlEpIvI8yYEdBKxpwauS/69Q/QAAAP//AwBQSwECLQAUAAYACAAAACEAtoM4kv4A&#10;AADhAQAAEwAAAAAAAAAAAAAAAAAAAAAAW0NvbnRlbnRfVHlwZXNdLnhtbFBLAQItABQABgAIAAAA&#10;IQA4/SH/1gAAAJQBAAALAAAAAAAAAAAAAAAAAC8BAABfcmVscy8ucmVsc1BLAQItABQABgAIAAAA&#10;IQDvZHvs2gEAABwEAAAOAAAAAAAAAAAAAAAAAC4CAABkcnMvZTJvRG9jLnhtbFBLAQItABQABgAI&#10;AAAAIQBDc5jq4QAAAAoBAAAPAAAAAAAAAAAAAAAAADQEAABkcnMvZG93bnJldi54bWxQSwUGAAAA&#10;AAQABADzAAAAQgUAAAAA&#10;" o:allowincell="f" filled="f" stroked="f" strokeweight=".18mm">
              <v:textbox>
                <w:txbxContent>
                  <w:p w14:paraId="1032CB6D" w14:textId="77777777" w:rsidR="00A502A0" w:rsidRPr="006F43E4" w:rsidRDefault="00000000">
                    <w:pPr>
                      <w:pStyle w:val="Encabezado"/>
                      <w:rPr>
                        <w:rFonts w:ascii="Arial Rounded MT Bold" w:hAnsi="Arial Rounded MT Bold"/>
                        <w:sz w:val="20"/>
                        <w:szCs w:val="20"/>
                        <w:lang w:val="es-CR"/>
                      </w:rPr>
                    </w:pPr>
                    <w:r w:rsidRPr="006F43E4">
                      <w:rPr>
                        <w:rFonts w:ascii="Arial Rounded MT Bold" w:hAnsi="Arial Rounded MT Bold"/>
                        <w:color w:val="000000"/>
                        <w:sz w:val="20"/>
                        <w:szCs w:val="20"/>
                        <w:lang w:val="es-CR"/>
                      </w:rPr>
                      <w:t>Viceministerio de Planificación Institucional y Coordinación Regional</w:t>
                    </w:r>
                  </w:p>
                  <w:p w14:paraId="07B2D0EB" w14:textId="77777777" w:rsidR="00A502A0" w:rsidRPr="006F43E4" w:rsidRDefault="00000000">
                    <w:pPr>
                      <w:pStyle w:val="Encabezado"/>
                      <w:rPr>
                        <w:rFonts w:ascii="Arial Rounded MT Bold" w:hAnsi="Arial Rounded MT Bold"/>
                        <w:sz w:val="20"/>
                        <w:szCs w:val="20"/>
                        <w:lang w:val="es-CR"/>
                      </w:rPr>
                    </w:pPr>
                    <w:r w:rsidRPr="006F43E4">
                      <w:rPr>
                        <w:rFonts w:ascii="Arial Rounded MT Bold" w:hAnsi="Arial Rounded MT Bold"/>
                        <w:color w:val="000000"/>
                        <w:sz w:val="20"/>
                        <w:szCs w:val="20"/>
                        <w:lang w:val="es-CR"/>
                      </w:rPr>
                      <w:t>Dirección de Gestión y Desarrollo Regional</w:t>
                    </w:r>
                  </w:p>
                  <w:p w14:paraId="72058350" w14:textId="77777777" w:rsidR="00A502A0" w:rsidRDefault="00000000">
                    <w:pPr>
                      <w:pStyle w:val="Encabezado"/>
                      <w:rPr>
                        <w:rFonts w:ascii="Arial Rounded MT Bold" w:hAnsi="Arial Rounded MT Bold"/>
                        <w:sz w:val="20"/>
                        <w:szCs w:val="20"/>
                      </w:rPr>
                    </w:pPr>
                    <w:r>
                      <w:rPr>
                        <w:rFonts w:ascii="Arial Rounded MT Bold" w:hAnsi="Arial Rounded MT Bold"/>
                        <w:color w:val="000000"/>
                        <w:sz w:val="20"/>
                        <w:szCs w:val="20"/>
                      </w:rPr>
                      <w:t>Departamento de Gestión de Juntas</w:t>
                    </w:r>
                  </w:p>
                  <w:p w14:paraId="588B79E4" w14:textId="77777777" w:rsidR="00A502A0" w:rsidRDefault="00A502A0">
                    <w:pPr>
                      <w:pStyle w:val="Encabezado"/>
                      <w:rPr>
                        <w:rFonts w:ascii="Arial Rounded MT Std" w:hAnsi="Arial Rounded MT Std"/>
                        <w:sz w:val="26"/>
                      </w:rPr>
                    </w:pPr>
                  </w:p>
                  <w:p w14:paraId="79CFF3F8" w14:textId="77777777" w:rsidR="00A502A0" w:rsidRDefault="00A502A0">
                    <w:pPr>
                      <w:pStyle w:val="Contenidodelmarco"/>
                      <w:spacing w:after="160"/>
                      <w:contextualSpacing w:val="0"/>
                      <w:rPr>
                        <w:color w:val="000000"/>
                      </w:rPr>
                    </w:pPr>
                  </w:p>
                </w:txbxContent>
              </v:textbox>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D2B551" w14:textId="77777777" w:rsidR="00A502A0" w:rsidRDefault="00000000">
    <w:pPr>
      <w:pStyle w:val="Encabezado"/>
      <w:rPr>
        <w:rStyle w:val="Nmerodepgina"/>
      </w:rPr>
    </w:pPr>
    <w:r>
      <w:rPr>
        <w:noProof/>
      </w:rPr>
      <mc:AlternateContent>
        <mc:Choice Requires="wps">
          <w:drawing>
            <wp:anchor distT="0" distB="0" distL="635" distR="0" simplePos="0" relativeHeight="251655168" behindDoc="1" locked="0" layoutInCell="0" allowOverlap="1" wp14:anchorId="75E8A41C" wp14:editId="78ECB5E3">
              <wp:simplePos x="0" y="0"/>
              <wp:positionH relativeFrom="column">
                <wp:posOffset>-1105535</wp:posOffset>
              </wp:positionH>
              <wp:positionV relativeFrom="paragraph">
                <wp:posOffset>9247505</wp:posOffset>
              </wp:positionV>
              <wp:extent cx="7817485" cy="410210"/>
              <wp:effectExtent l="635" t="0" r="0" b="0"/>
              <wp:wrapNone/>
              <wp:docPr id="8" name="Rectángulo 2"/>
              <wp:cNvGraphicFramePr/>
              <a:graphic xmlns:a="http://schemas.openxmlformats.org/drawingml/2006/main">
                <a:graphicData uri="http://schemas.microsoft.com/office/word/2010/wordprocessingShape">
                  <wps:wsp>
                    <wps:cNvSpPr/>
                    <wps:spPr>
                      <a:xfrm>
                        <a:off x="0" y="0"/>
                        <a:ext cx="7817400" cy="410040"/>
                      </a:xfrm>
                      <a:prstGeom prst="rect">
                        <a:avLst/>
                      </a:prstGeom>
                      <a:solidFill>
                        <a:srgbClr val="00B7D0"/>
                      </a:solidFill>
                      <a:ln>
                        <a:noFill/>
                      </a:ln>
                    </wps:spPr>
                    <wps:style>
                      <a:lnRef idx="2">
                        <a:schemeClr val="accent1">
                          <a:shade val="50000"/>
                        </a:schemeClr>
                      </a:lnRef>
                      <a:fillRef idx="1">
                        <a:schemeClr val="accent1"/>
                      </a:fillRef>
                      <a:effectRef idx="0">
                        <a:schemeClr val="accent1"/>
                      </a:effectRef>
                      <a:fontRef idx="minor"/>
                    </wps:style>
                    <wps:bodyPr/>
                  </wps:wsp>
                </a:graphicData>
              </a:graphic>
            </wp:anchor>
          </w:drawing>
        </mc:Choice>
        <mc:Fallback>
          <w:pict>
            <v:rect w14:anchorId="74C926F2" id="Rectángulo 2" o:spid="_x0000_s1026" style="position:absolute;margin-left:-87.05pt;margin-top:728.15pt;width:615.55pt;height:32.3pt;z-index:-251661312;visibility:visible;mso-wrap-style:square;mso-wrap-distance-left:.05pt;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kquygEAAOUDAAAOAAAAZHJzL2Uyb0RvYy54bWysU02PEzEMvSPxH6Lc6WSqQldVpytBtVwQ&#10;IBZ+QJpxOpHypSR02n+P4+nOFlbigOghtWP7+fnFs70/O8tOkLIJvuPtQnAGXoXe+GPHf3x/eHPH&#10;WS7S99IGDx2/QOb3u9evtmPcwDIMwfaQGIL4vBljx4dS4qZpshrAybwIETwGdUhOFnTTsemTHBHd&#10;2WYpxLtmDKmPKSjIGW/3U5DvCF9rUOWL1hkKsx1HboXOROehns1uKzfHJONg1JWG/AcWThqPTWeo&#10;vSyS/UzmBZQzKoUcdFmo4JqgtVFAM+A0rfhjmsdBRqBZUJwcZ5ny/4NVn0+P8WtCGcaYNxnNOsVZ&#10;J1f/kR87k1iXWSw4F6bwcn3XrlcCNVUYW7VCrEjN5rk6plw+QnCsGh1P+BikkTx9ygU7YupTSm2W&#10;gzX9g7GWnHQ8fLCJnWR9OPF+vX9C/y3N+prsQy2bEOtN8zwLWeVioeZZ/w00Mz2yXxITWjOY+0il&#10;wJd2Cg2yh6n9W4G/uilIeK4gjwArssb+M/YVoK7wS+wJ5ppfS4G2dC4WfyM2Fc8V1Dn4Mhc740Mi&#10;pjdzV/MQ+gu9MkmDu0T0r3tfl/XWR/v269z9AgAA//8DAFBLAwQUAAYACAAAACEArqp2oOYAAAAP&#10;AQAADwAAAGRycy9kb3ducmV2LnhtbEyPS0/DMBCE70j8B2uRuKDWTkj6CHEqoFTiQA9Ny91NnIca&#10;25HtJuHfsz3BbUfzaXYm3UyqI4O0rjWaQzBnQKQuTNnqmsPpuJutgDgvdCk6oyWHH+lgk93fpSIp&#10;zagPcsh9TTBEu0RwaLzvE0pd0Ugl3Nz0UqNXGauER2lrWloxYrjqaMjYgirRavzQiF6+N7K45FfF&#10;YTx+hvtt/va1P0Xrrf2ohsvTd8X548P0+gLEy8n/wXCrj9Uhw05nc9WlIx2HWbCMAmTRieLFM5Ab&#10;w+IlDjzjFYdsDTRL6f8d2S8AAAD//wMAUEsBAi0AFAAGAAgAAAAhALaDOJL+AAAA4QEAABMAAAAA&#10;AAAAAAAAAAAAAAAAAFtDb250ZW50X1R5cGVzXS54bWxQSwECLQAUAAYACAAAACEAOP0h/9YAAACU&#10;AQAACwAAAAAAAAAAAAAAAAAvAQAAX3JlbHMvLnJlbHNQSwECLQAUAAYACAAAACEAKYpKrsoBAADl&#10;AwAADgAAAAAAAAAAAAAAAAAuAgAAZHJzL2Uyb0RvYy54bWxQSwECLQAUAAYACAAAACEArqp2oOYA&#10;AAAPAQAADwAAAAAAAAAAAAAAAAAkBAAAZHJzL2Rvd25yZXYueG1sUEsFBgAAAAAEAAQA8wAAADcF&#10;AAAAAA==&#10;" o:allowincell="f" fillcolor="#00b7d0" stroked="f" strokeweight="1pt"/>
          </w:pict>
        </mc:Fallback>
      </mc:AlternateContent>
    </w:r>
    <w:r>
      <w:rPr>
        <w:noProof/>
      </w:rPr>
      <w:drawing>
        <wp:anchor distT="0" distB="0" distL="0" distR="0" simplePos="0" relativeHeight="251657216" behindDoc="1" locked="0" layoutInCell="0" allowOverlap="1" wp14:anchorId="2C0ABF13" wp14:editId="33510E40">
          <wp:simplePos x="0" y="0"/>
          <wp:positionH relativeFrom="column">
            <wp:posOffset>35560</wp:posOffset>
          </wp:positionH>
          <wp:positionV relativeFrom="paragraph">
            <wp:posOffset>-292100</wp:posOffset>
          </wp:positionV>
          <wp:extent cx="958215" cy="636270"/>
          <wp:effectExtent l="0" t="0" r="0" b="0"/>
          <wp:wrapNone/>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4"/>
                  <pic:cNvPicPr>
                    <a:picLocks noChangeAspect="1" noChangeArrowheads="1"/>
                  </pic:cNvPicPr>
                </pic:nvPicPr>
                <pic:blipFill>
                  <a:blip r:embed="rId1"/>
                  <a:stretch>
                    <a:fillRect/>
                  </a:stretch>
                </pic:blipFill>
                <pic:spPr bwMode="auto">
                  <a:xfrm>
                    <a:off x="0" y="0"/>
                    <a:ext cx="958215" cy="636270"/>
                  </a:xfrm>
                  <a:prstGeom prst="rect">
                    <a:avLst/>
                  </a:prstGeom>
                </pic:spPr>
              </pic:pic>
            </a:graphicData>
          </a:graphic>
        </wp:anchor>
      </w:drawing>
    </w:r>
    <w:r>
      <w:rPr>
        <w:noProof/>
      </w:rPr>
      <mc:AlternateContent>
        <mc:Choice Requires="wps">
          <w:drawing>
            <wp:anchor distT="0" distB="0" distL="0" distR="0" simplePos="0" relativeHeight="251659264" behindDoc="1" locked="0" layoutInCell="0" allowOverlap="1" wp14:anchorId="479C78A1" wp14:editId="58CC87FC">
              <wp:simplePos x="0" y="0"/>
              <wp:positionH relativeFrom="column">
                <wp:posOffset>6257925</wp:posOffset>
              </wp:positionH>
              <wp:positionV relativeFrom="paragraph">
                <wp:posOffset>9312275</wp:posOffset>
              </wp:positionV>
              <wp:extent cx="261620" cy="233045"/>
              <wp:effectExtent l="0" t="0" r="0" b="0"/>
              <wp:wrapNone/>
              <wp:docPr id="10" name="Cuadro de texto 5"/>
              <wp:cNvGraphicFramePr/>
              <a:graphic xmlns:a="http://schemas.openxmlformats.org/drawingml/2006/main">
                <a:graphicData uri="http://schemas.microsoft.com/office/word/2010/wordprocessingShape">
                  <wps:wsp>
                    <wps:cNvSpPr/>
                    <wps:spPr>
                      <a:xfrm>
                        <a:off x="0" y="0"/>
                        <a:ext cx="261720" cy="232920"/>
                      </a:xfrm>
                      <a:prstGeom prst="rect">
                        <a:avLst/>
                      </a:prstGeom>
                      <a:noFill/>
                      <a:ln w="6350">
                        <a:noFill/>
                      </a:ln>
                    </wps:spPr>
                    <wps:style>
                      <a:lnRef idx="0">
                        <a:scrgbClr r="0" g="0" b="0"/>
                      </a:lnRef>
                      <a:fillRef idx="0">
                        <a:scrgbClr r="0" g="0" b="0"/>
                      </a:fillRef>
                      <a:effectRef idx="0">
                        <a:scrgbClr r="0" g="0" b="0"/>
                      </a:effectRef>
                      <a:fontRef idx="minor"/>
                    </wps:style>
                    <wps:txbx>
                      <w:txbxContent>
                        <w:sdt>
                          <w:sdtPr>
                            <w:id w:val="1475025371"/>
                            <w:docPartObj>
                              <w:docPartGallery w:val="Page Numbers (Top of Page)"/>
                              <w:docPartUnique/>
                            </w:docPartObj>
                          </w:sdtPr>
                          <w:sdtContent>
                            <w:p w14:paraId="66206398" w14:textId="77777777" w:rsidR="00A502A0" w:rsidRDefault="00000000">
                              <w:pPr>
                                <w:pStyle w:val="Contenidodelmarco"/>
                                <w:rPr>
                                  <w:rFonts w:ascii="Arial" w:hAnsi="Arial" w:cs="Arial"/>
                                  <w:color w:val="FFFFFF"/>
                                  <w:sz w:val="21"/>
                                  <w:szCs w:val="21"/>
                                </w:rPr>
                              </w:pPr>
                            </w:p>
                          </w:sdtContent>
                        </w:sdt>
                      </w:txbxContent>
                    </wps:txbx>
                    <wps:bodyPr anchor="ctr">
                      <a:prstTxWarp prst="textNoShape">
                        <a:avLst/>
                      </a:prstTxWarp>
                      <a:noAutofit/>
                    </wps:bodyPr>
                  </wps:wsp>
                </a:graphicData>
              </a:graphic>
            </wp:anchor>
          </w:drawing>
        </mc:Choice>
        <mc:Fallback>
          <w:pict>
            <v:rect w14:anchorId="479C78A1" id="_x0000_s1028" style="position:absolute;margin-left:492.75pt;margin-top:733.25pt;width:20.6pt;height:18.35pt;z-index:-251657216;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Qs32QEAAB0EAAAOAAAAZHJzL2Uyb0RvYy54bWysU8Fu2zAMvQ/YPwi6L3ZcLFuNOMWworsM&#10;XbF22FmRpViAJAqUGjt/P0pJnKI7ddhFpkW+R/KRWt9MzrK9wmjAd3y5qDlTXkJv/K7jv57uPnzm&#10;LCbhe2HBq44fVOQ3m/fv1mNoVQMD2F4hIxIf2zF0fEgptFUV5aCciAsIypNTAzqR6Bd3VY9iJHZn&#10;q6auV9UI2AcEqWKk29ujk28Kv9ZKph9aR5WY7TjVlsqJ5dzms9qsRbtDEQYjT2WIf6jCCeMp6Ux1&#10;K5Jgz2j+onJGIkTQaSHBVaC1kar0QN0s61fdPA4iqNILiRPDLFP8f7Tyfv8YHpBkGENsI5m5i0mj&#10;y1+qj01FrMMslpoSk3TZrJafGpJUkqu5aq7JJpbqAg4Y0zcFjmWj40izKBKJ/feYjqHnkJzLw52x&#10;tszDejZ2fHX1sS6A2UPk1lOOS6nFSgerMoP1P5Vmpi8V54socbf9apEdB04bSfWex17ICJADNWV+&#10;I/YEyWhV9uyN+BlU8oNPM94ZD1i0fNFdNtO0nag9kjt7880W+sMDMuHlANSjTFgEy7I+Tb8FhpP2&#10;iYZ2D+d1Eu2rERxjcyEevjwn0KbM55LhpDntYJnw6b3kJX/5X6Iur3rzBwAA//8DAFBLAwQUAAYA&#10;CAAAACEAzNBGvuQAAAAOAQAADwAAAGRycy9kb3ducmV2LnhtbEyPwU7DMBBE70j8g7VI3KjdQEIJ&#10;cSpagThVkFKBuLnxEkfEdojdNv17tie4zWqeZmeK+Wg7tschtN5JmE4EMHS1161rJGzenq5mwEJU&#10;TqvOO5RwxADz8vysULn2B1fhfh0bRiEu5EqCibHPOQ+1QavCxPfoyPvyg1WRzqHhelAHCrcdT4TI&#10;uFWtow9G9bg0WH+vd1bCavO60G31Yo4/z8vH9+lH3y6qTykvL8aHe2ARx/gHw6k+VYeSOm39zunA&#10;Ogl3szQllIybLCN1QkSS3QLbkkrFdQK8LPj/GeUvAAAA//8DAFBLAQItABQABgAIAAAAIQC2gziS&#10;/gAAAOEBAAATAAAAAAAAAAAAAAAAAAAAAABbQ29udGVudF9UeXBlc10ueG1sUEsBAi0AFAAGAAgA&#10;AAAhADj9If/WAAAAlAEAAAsAAAAAAAAAAAAAAAAALwEAAF9yZWxzLy5yZWxzUEsBAi0AFAAGAAgA&#10;AAAhAMjNCzfZAQAAHQQAAA4AAAAAAAAAAAAAAAAALgIAAGRycy9lMm9Eb2MueG1sUEsBAi0AFAAG&#10;AAgAAAAhAMzQRr7kAAAADgEAAA8AAAAAAAAAAAAAAAAAMwQAAGRycy9kb3ducmV2LnhtbFBLBQYA&#10;AAAABAAEAPMAAABEBQAAAAA=&#10;" o:allowincell="f" filled="f" stroked="f" strokeweight=".5pt">
              <v:textbox>
                <w:txbxContent>
                  <w:sdt>
                    <w:sdtPr>
                      <w:id w:val="1475025371"/>
                      <w:docPartObj>
                        <w:docPartGallery w:val="Page Numbers (Top of Page)"/>
                        <w:docPartUnique/>
                      </w:docPartObj>
                    </w:sdtPr>
                    <w:sdtContent>
                      <w:p w14:paraId="66206398" w14:textId="77777777" w:rsidR="00A502A0" w:rsidRDefault="00000000">
                        <w:pPr>
                          <w:pStyle w:val="Contenidodelmarco"/>
                          <w:rPr>
                            <w:rFonts w:ascii="Arial" w:hAnsi="Arial" w:cs="Arial"/>
                            <w:color w:val="FFFFFF"/>
                            <w:sz w:val="21"/>
                            <w:szCs w:val="21"/>
                          </w:rPr>
                        </w:pPr>
                      </w:p>
                    </w:sdtContent>
                  </w:sdt>
                </w:txbxContent>
              </v:textbox>
            </v:rect>
          </w:pict>
        </mc:Fallback>
      </mc:AlternateContent>
    </w:r>
    <w:r>
      <w:rPr>
        <w:noProof/>
      </w:rPr>
      <mc:AlternateContent>
        <mc:Choice Requires="wps">
          <w:drawing>
            <wp:anchor distT="0" distB="0" distL="0" distR="0" simplePos="0" relativeHeight="251661312" behindDoc="1" locked="0" layoutInCell="0" allowOverlap="1" wp14:anchorId="3989C409" wp14:editId="75325FEA">
              <wp:simplePos x="0" y="0"/>
              <wp:positionH relativeFrom="column">
                <wp:posOffset>1805940</wp:posOffset>
              </wp:positionH>
              <wp:positionV relativeFrom="paragraph">
                <wp:posOffset>-177800</wp:posOffset>
              </wp:positionV>
              <wp:extent cx="4486275" cy="673100"/>
              <wp:effectExtent l="0" t="0" r="0" b="0"/>
              <wp:wrapNone/>
              <wp:docPr id="12" name="Cuadro de texto 51"/>
              <wp:cNvGraphicFramePr/>
              <a:graphic xmlns:a="http://schemas.openxmlformats.org/drawingml/2006/main">
                <a:graphicData uri="http://schemas.microsoft.com/office/word/2010/wordprocessingShape">
                  <wps:wsp>
                    <wps:cNvSpPr/>
                    <wps:spPr>
                      <a:xfrm>
                        <a:off x="0" y="0"/>
                        <a:ext cx="4486320" cy="673200"/>
                      </a:xfrm>
                      <a:prstGeom prst="rect">
                        <a:avLst/>
                      </a:prstGeom>
                      <a:noFill/>
                      <a:ln w="6480">
                        <a:noFill/>
                      </a:ln>
                    </wps:spPr>
                    <wps:style>
                      <a:lnRef idx="0">
                        <a:scrgbClr r="0" g="0" b="0"/>
                      </a:lnRef>
                      <a:fillRef idx="0">
                        <a:scrgbClr r="0" g="0" b="0"/>
                      </a:fillRef>
                      <a:effectRef idx="0">
                        <a:scrgbClr r="0" g="0" b="0"/>
                      </a:effectRef>
                      <a:fontRef idx="minor"/>
                    </wps:style>
                    <wps:txbx>
                      <w:txbxContent>
                        <w:p w14:paraId="383FD40B" w14:textId="77777777" w:rsidR="00A502A0" w:rsidRPr="006F43E4" w:rsidRDefault="00000000">
                          <w:pPr>
                            <w:pStyle w:val="Encabezado"/>
                            <w:rPr>
                              <w:rFonts w:ascii="Arial Rounded MT Bold" w:hAnsi="Arial Rounded MT Bold"/>
                              <w:sz w:val="20"/>
                              <w:szCs w:val="20"/>
                              <w:lang w:val="es-CR"/>
                            </w:rPr>
                          </w:pPr>
                          <w:r w:rsidRPr="006F43E4">
                            <w:rPr>
                              <w:rFonts w:ascii="Arial Rounded MT Bold" w:hAnsi="Arial Rounded MT Bold"/>
                              <w:color w:val="000000"/>
                              <w:sz w:val="20"/>
                              <w:szCs w:val="20"/>
                              <w:lang w:val="es-CR"/>
                            </w:rPr>
                            <w:t>Viceministerio de Planificación Institucional y Coordinación Regional</w:t>
                          </w:r>
                        </w:p>
                        <w:p w14:paraId="03B66FD5" w14:textId="77777777" w:rsidR="00A502A0" w:rsidRPr="006F43E4" w:rsidRDefault="00000000">
                          <w:pPr>
                            <w:pStyle w:val="Encabezado"/>
                            <w:rPr>
                              <w:rFonts w:ascii="Arial Rounded MT Bold" w:hAnsi="Arial Rounded MT Bold"/>
                              <w:sz w:val="20"/>
                              <w:szCs w:val="20"/>
                              <w:lang w:val="es-CR"/>
                            </w:rPr>
                          </w:pPr>
                          <w:r w:rsidRPr="006F43E4">
                            <w:rPr>
                              <w:rFonts w:ascii="Arial Rounded MT Bold" w:hAnsi="Arial Rounded MT Bold"/>
                              <w:color w:val="000000"/>
                              <w:sz w:val="20"/>
                              <w:szCs w:val="20"/>
                              <w:lang w:val="es-CR"/>
                            </w:rPr>
                            <w:t>Dirección de Gestión y Desarrollo Regional</w:t>
                          </w:r>
                        </w:p>
                        <w:p w14:paraId="08ECFCF3" w14:textId="77777777" w:rsidR="00A502A0" w:rsidRDefault="00000000">
                          <w:pPr>
                            <w:pStyle w:val="Encabezado"/>
                            <w:rPr>
                              <w:rFonts w:ascii="Arial Rounded MT Bold" w:hAnsi="Arial Rounded MT Bold"/>
                              <w:sz w:val="20"/>
                              <w:szCs w:val="20"/>
                            </w:rPr>
                          </w:pPr>
                          <w:r>
                            <w:rPr>
                              <w:rFonts w:ascii="Arial Rounded MT Bold" w:hAnsi="Arial Rounded MT Bold"/>
                              <w:color w:val="000000"/>
                              <w:sz w:val="20"/>
                              <w:szCs w:val="20"/>
                            </w:rPr>
                            <w:t>Departamento de Gestión de Juntas</w:t>
                          </w:r>
                        </w:p>
                        <w:p w14:paraId="06B09D18" w14:textId="77777777" w:rsidR="00A502A0" w:rsidRDefault="00A502A0">
                          <w:pPr>
                            <w:pStyle w:val="Encabezado"/>
                            <w:rPr>
                              <w:rFonts w:ascii="Arial Rounded MT Std" w:hAnsi="Arial Rounded MT Std"/>
                              <w:sz w:val="26"/>
                            </w:rPr>
                          </w:pPr>
                        </w:p>
                        <w:p w14:paraId="408758A4" w14:textId="77777777" w:rsidR="00A502A0" w:rsidRDefault="00A502A0">
                          <w:pPr>
                            <w:pStyle w:val="Contenidodelmarco"/>
                            <w:spacing w:after="160"/>
                            <w:contextualSpacing w:val="0"/>
                            <w:rPr>
                              <w:color w:val="000000"/>
                            </w:rPr>
                          </w:pPr>
                        </w:p>
                      </w:txbxContent>
                    </wps:txbx>
                    <wps:bodyPr anchor="t">
                      <a:prstTxWarp prst="textNoShape">
                        <a:avLst/>
                      </a:prstTxWarp>
                      <a:noAutofit/>
                    </wps:bodyPr>
                  </wps:wsp>
                </a:graphicData>
              </a:graphic>
            </wp:anchor>
          </w:drawing>
        </mc:Choice>
        <mc:Fallback>
          <w:pict>
            <v:rect w14:anchorId="3989C409" id="_x0000_s1029" style="position:absolute;margin-left:142.2pt;margin-top:-14pt;width:353.25pt;height:53pt;z-index:-2516551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ErO2wEAABwEAAAOAAAAZHJzL2Uyb0RvYy54bWysU8Fu2zAMvQ/YPwi6L3bTIAuMOEWxorsM&#10;XbF22FmRpViALAqUGjt/P0p2nKI7dehFlkW9R75HanszdJYdFQYDruZXi5Iz5SQ0xh1q/vv5/suG&#10;sxCFa4QFp2p+UoHf7D5/2va+UktowTYKGZG4UPW+5m2MviqKIFvVibAArxwFNWAnIv3ioWhQ9MTe&#10;2WJZluuiB2w8glQh0OndGOS7zK+1kvGn1kFFZmtOtcW8Yl73aS12W1EdUPjWyKkM8R9VdMI4SjpT&#10;3Yko2Auaf6g6IxEC6LiQ0BWgtZEqayA1V+UbNU+t8CprIXOCn20KH0crH45P/hHJht6HKtA2qRg0&#10;dulL9bEhm3WazVJDZJIOV6vN+npJnkqKrb/SNrtZXNAeQ/yuoGNpU3OkZmSPxPFHiJSRrp6vpGQO&#10;7o21uSHWsZ5IV5syA+YIIawj4KXWvIsnqxKDdb+UZqbJJaeDIPGw/2aRjR2nkaR6z33PZARIFzVl&#10;fid2giS0yoP2TvwMyvnBxRnfGQeYJnPUOapLQuOwH0heza9TNJ3soTk9IhNOtkAaR3+Tqc/DH4F+&#10;cj5Szx7gPE2ietOA8W4qw8HtSwRtcncu/FMlNIK5adNzSTP++j/fujzq3V8AAAD//wMAUEsDBBQA&#10;BgAIAAAAIQBDc5jq4QAAAAoBAAAPAAAAZHJzL2Rvd25yZXYueG1sTI/LTsMwEEX3SPyDNUhsUOsQ&#10;KpqEOBVUIARiQVPE2o2HOMKPEDtN+HuGFSxn5ujOueVmtoYdcQiddwIulwkwdI1XnWsFvO0fFhmw&#10;EKVT0niHAr4xwKY6PSllofzkdnisY8soxIVCCtAx9gXnodFoZVj6Hh3dPvxgZaRxaLka5ETh1vA0&#10;Sa65lZ2jD1r2uNXYfNajFXAhzdN097yeXx9fxqtZb+v7969OiPOz+fYGWMQ5/sHwq0/qUJHTwY9O&#10;BWYEpNlqRaiARZpRKSLyPMmBHQSsacGrkv+vUP0AAAD//wMAUEsBAi0AFAAGAAgAAAAhALaDOJL+&#10;AAAA4QEAABMAAAAAAAAAAAAAAAAAAAAAAFtDb250ZW50X1R5cGVzXS54bWxQSwECLQAUAAYACAAA&#10;ACEAOP0h/9YAAACUAQAACwAAAAAAAAAAAAAAAAAvAQAAX3JlbHMvLnJlbHNQSwECLQAUAAYACAAA&#10;ACEAl1hKztsBAAAcBAAADgAAAAAAAAAAAAAAAAAuAgAAZHJzL2Uyb0RvYy54bWxQSwECLQAUAAYA&#10;CAAAACEAQ3OY6uEAAAAKAQAADwAAAAAAAAAAAAAAAAA1BAAAZHJzL2Rvd25yZXYueG1sUEsFBgAA&#10;AAAEAAQA8wAAAEMFAAAAAA==&#10;" o:allowincell="f" filled="f" stroked="f" strokeweight=".18mm">
              <v:textbox>
                <w:txbxContent>
                  <w:p w14:paraId="383FD40B" w14:textId="77777777" w:rsidR="00A502A0" w:rsidRPr="006F43E4" w:rsidRDefault="00000000">
                    <w:pPr>
                      <w:pStyle w:val="Encabezado"/>
                      <w:rPr>
                        <w:rFonts w:ascii="Arial Rounded MT Bold" w:hAnsi="Arial Rounded MT Bold"/>
                        <w:sz w:val="20"/>
                        <w:szCs w:val="20"/>
                        <w:lang w:val="es-CR"/>
                      </w:rPr>
                    </w:pPr>
                    <w:r w:rsidRPr="006F43E4">
                      <w:rPr>
                        <w:rFonts w:ascii="Arial Rounded MT Bold" w:hAnsi="Arial Rounded MT Bold"/>
                        <w:color w:val="000000"/>
                        <w:sz w:val="20"/>
                        <w:szCs w:val="20"/>
                        <w:lang w:val="es-CR"/>
                      </w:rPr>
                      <w:t>Viceministerio de Planificación Institucional y Coordinación Regional</w:t>
                    </w:r>
                  </w:p>
                  <w:p w14:paraId="03B66FD5" w14:textId="77777777" w:rsidR="00A502A0" w:rsidRPr="006F43E4" w:rsidRDefault="00000000">
                    <w:pPr>
                      <w:pStyle w:val="Encabezado"/>
                      <w:rPr>
                        <w:rFonts w:ascii="Arial Rounded MT Bold" w:hAnsi="Arial Rounded MT Bold"/>
                        <w:sz w:val="20"/>
                        <w:szCs w:val="20"/>
                        <w:lang w:val="es-CR"/>
                      </w:rPr>
                    </w:pPr>
                    <w:r w:rsidRPr="006F43E4">
                      <w:rPr>
                        <w:rFonts w:ascii="Arial Rounded MT Bold" w:hAnsi="Arial Rounded MT Bold"/>
                        <w:color w:val="000000"/>
                        <w:sz w:val="20"/>
                        <w:szCs w:val="20"/>
                        <w:lang w:val="es-CR"/>
                      </w:rPr>
                      <w:t>Dirección de Gestión y Desarrollo Regional</w:t>
                    </w:r>
                  </w:p>
                  <w:p w14:paraId="08ECFCF3" w14:textId="77777777" w:rsidR="00A502A0" w:rsidRDefault="00000000">
                    <w:pPr>
                      <w:pStyle w:val="Encabezado"/>
                      <w:rPr>
                        <w:rFonts w:ascii="Arial Rounded MT Bold" w:hAnsi="Arial Rounded MT Bold"/>
                        <w:sz w:val="20"/>
                        <w:szCs w:val="20"/>
                      </w:rPr>
                    </w:pPr>
                    <w:r>
                      <w:rPr>
                        <w:rFonts w:ascii="Arial Rounded MT Bold" w:hAnsi="Arial Rounded MT Bold"/>
                        <w:color w:val="000000"/>
                        <w:sz w:val="20"/>
                        <w:szCs w:val="20"/>
                      </w:rPr>
                      <w:t>Departamento de Gestión de Juntas</w:t>
                    </w:r>
                  </w:p>
                  <w:p w14:paraId="06B09D18" w14:textId="77777777" w:rsidR="00A502A0" w:rsidRDefault="00A502A0">
                    <w:pPr>
                      <w:pStyle w:val="Encabezado"/>
                      <w:rPr>
                        <w:rFonts w:ascii="Arial Rounded MT Std" w:hAnsi="Arial Rounded MT Std"/>
                        <w:sz w:val="26"/>
                      </w:rPr>
                    </w:pPr>
                  </w:p>
                  <w:p w14:paraId="408758A4" w14:textId="77777777" w:rsidR="00A502A0" w:rsidRDefault="00A502A0">
                    <w:pPr>
                      <w:pStyle w:val="Contenidodelmarco"/>
                      <w:spacing w:after="160"/>
                      <w:contextualSpacing w:val="0"/>
                      <w:rPr>
                        <w:color w:val="000000"/>
                      </w:rPr>
                    </w:pPr>
                  </w:p>
                </w:txbxContent>
              </v:textbox>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0E1B13"/>
    <w:multiLevelType w:val="multilevel"/>
    <w:tmpl w:val="A3B0085E"/>
    <w:lvl w:ilvl="0">
      <w:start w:val="1"/>
      <w:numFmt w:val="lowerLetter"/>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21D765D3"/>
    <w:multiLevelType w:val="multilevel"/>
    <w:tmpl w:val="230031D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33881832"/>
    <w:multiLevelType w:val="multilevel"/>
    <w:tmpl w:val="C2D037BC"/>
    <w:lvl w:ilvl="0">
      <w:start w:val="1"/>
      <w:numFmt w:val="lowerLetter"/>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736E119E"/>
    <w:multiLevelType w:val="multilevel"/>
    <w:tmpl w:val="0880955A"/>
    <w:lvl w:ilvl="0">
      <w:start w:val="1"/>
      <w:numFmt w:val="bullet"/>
      <w:lvlText w:val=""/>
      <w:lvlJc w:val="left"/>
      <w:pPr>
        <w:tabs>
          <w:tab w:val="num" w:pos="0"/>
        </w:tabs>
        <w:ind w:left="1463" w:hanging="360"/>
      </w:pPr>
      <w:rPr>
        <w:rFonts w:ascii="Wingdings" w:hAnsi="Wingdings" w:cs="Wingdings" w:hint="default"/>
      </w:rPr>
    </w:lvl>
    <w:lvl w:ilvl="1">
      <w:start w:val="1"/>
      <w:numFmt w:val="bullet"/>
      <w:lvlText w:val="o"/>
      <w:lvlJc w:val="left"/>
      <w:pPr>
        <w:tabs>
          <w:tab w:val="num" w:pos="0"/>
        </w:tabs>
        <w:ind w:left="2183" w:hanging="360"/>
      </w:pPr>
      <w:rPr>
        <w:rFonts w:ascii="Courier New" w:hAnsi="Courier New" w:cs="Courier New" w:hint="default"/>
      </w:rPr>
    </w:lvl>
    <w:lvl w:ilvl="2">
      <w:start w:val="1"/>
      <w:numFmt w:val="bullet"/>
      <w:lvlText w:val=""/>
      <w:lvlJc w:val="left"/>
      <w:pPr>
        <w:tabs>
          <w:tab w:val="num" w:pos="0"/>
        </w:tabs>
        <w:ind w:left="2903" w:hanging="360"/>
      </w:pPr>
      <w:rPr>
        <w:rFonts w:ascii="Wingdings" w:hAnsi="Wingdings" w:cs="Wingdings" w:hint="default"/>
      </w:rPr>
    </w:lvl>
    <w:lvl w:ilvl="3">
      <w:start w:val="1"/>
      <w:numFmt w:val="bullet"/>
      <w:lvlText w:val=""/>
      <w:lvlJc w:val="left"/>
      <w:pPr>
        <w:tabs>
          <w:tab w:val="num" w:pos="0"/>
        </w:tabs>
        <w:ind w:left="3623" w:hanging="360"/>
      </w:pPr>
      <w:rPr>
        <w:rFonts w:ascii="Symbol" w:hAnsi="Symbol" w:cs="Symbol" w:hint="default"/>
      </w:rPr>
    </w:lvl>
    <w:lvl w:ilvl="4">
      <w:start w:val="1"/>
      <w:numFmt w:val="bullet"/>
      <w:lvlText w:val="o"/>
      <w:lvlJc w:val="left"/>
      <w:pPr>
        <w:tabs>
          <w:tab w:val="num" w:pos="0"/>
        </w:tabs>
        <w:ind w:left="4343" w:hanging="360"/>
      </w:pPr>
      <w:rPr>
        <w:rFonts w:ascii="Courier New" w:hAnsi="Courier New" w:cs="Courier New" w:hint="default"/>
      </w:rPr>
    </w:lvl>
    <w:lvl w:ilvl="5">
      <w:start w:val="1"/>
      <w:numFmt w:val="bullet"/>
      <w:lvlText w:val=""/>
      <w:lvlJc w:val="left"/>
      <w:pPr>
        <w:tabs>
          <w:tab w:val="num" w:pos="0"/>
        </w:tabs>
        <w:ind w:left="5063" w:hanging="360"/>
      </w:pPr>
      <w:rPr>
        <w:rFonts w:ascii="Wingdings" w:hAnsi="Wingdings" w:cs="Wingdings" w:hint="default"/>
      </w:rPr>
    </w:lvl>
    <w:lvl w:ilvl="6">
      <w:start w:val="1"/>
      <w:numFmt w:val="bullet"/>
      <w:lvlText w:val=""/>
      <w:lvlJc w:val="left"/>
      <w:pPr>
        <w:tabs>
          <w:tab w:val="num" w:pos="0"/>
        </w:tabs>
        <w:ind w:left="5783" w:hanging="360"/>
      </w:pPr>
      <w:rPr>
        <w:rFonts w:ascii="Symbol" w:hAnsi="Symbol" w:cs="Symbol" w:hint="default"/>
      </w:rPr>
    </w:lvl>
    <w:lvl w:ilvl="7">
      <w:start w:val="1"/>
      <w:numFmt w:val="bullet"/>
      <w:lvlText w:val="o"/>
      <w:lvlJc w:val="left"/>
      <w:pPr>
        <w:tabs>
          <w:tab w:val="num" w:pos="0"/>
        </w:tabs>
        <w:ind w:left="6503" w:hanging="360"/>
      </w:pPr>
      <w:rPr>
        <w:rFonts w:ascii="Courier New" w:hAnsi="Courier New" w:cs="Courier New" w:hint="default"/>
      </w:rPr>
    </w:lvl>
    <w:lvl w:ilvl="8">
      <w:start w:val="1"/>
      <w:numFmt w:val="bullet"/>
      <w:lvlText w:val=""/>
      <w:lvlJc w:val="left"/>
      <w:pPr>
        <w:tabs>
          <w:tab w:val="num" w:pos="0"/>
        </w:tabs>
        <w:ind w:left="7223" w:hanging="360"/>
      </w:pPr>
      <w:rPr>
        <w:rFonts w:ascii="Wingdings" w:hAnsi="Wingdings" w:cs="Wingdings" w:hint="default"/>
      </w:rPr>
    </w:lvl>
  </w:abstractNum>
  <w:num w:numId="1" w16cid:durableId="1575122774">
    <w:abstractNumId w:val="2"/>
  </w:num>
  <w:num w:numId="2" w16cid:durableId="441078082">
    <w:abstractNumId w:val="0"/>
  </w:num>
  <w:num w:numId="3" w16cid:durableId="1840776470">
    <w:abstractNumId w:val="3"/>
  </w:num>
  <w:num w:numId="4" w16cid:durableId="16492853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2A0"/>
    <w:rsid w:val="00304FAF"/>
    <w:rsid w:val="00360DCC"/>
    <w:rsid w:val="005D2A3A"/>
    <w:rsid w:val="005F0468"/>
    <w:rsid w:val="00673CF8"/>
    <w:rsid w:val="006F43E4"/>
    <w:rsid w:val="008D2C4F"/>
    <w:rsid w:val="00A333F5"/>
    <w:rsid w:val="00A502A0"/>
    <w:rsid w:val="00A7591C"/>
    <w:rsid w:val="00B75C87"/>
    <w:rsid w:val="00BE03ED"/>
    <w:rsid w:val="00C44C8C"/>
    <w:rsid w:val="00C70337"/>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EAD7D"/>
  <w15:docId w15:val="{EDEB197B-17A5-4173-AFD5-B314C5EDF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contextualSpacing/>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8A5E22"/>
  </w:style>
  <w:style w:type="character" w:customStyle="1" w:styleId="PiedepginaCar">
    <w:name w:val="Pie de página Car"/>
    <w:basedOn w:val="Fuentedeprrafopredeter"/>
    <w:link w:val="Piedepgina"/>
    <w:uiPriority w:val="99"/>
    <w:qFormat/>
    <w:rsid w:val="008A5E22"/>
  </w:style>
  <w:style w:type="character" w:styleId="Nmerodepgina">
    <w:name w:val="page number"/>
    <w:basedOn w:val="Fuentedeprrafopredeter"/>
    <w:uiPriority w:val="99"/>
    <w:semiHidden/>
    <w:unhideWhenUsed/>
    <w:qFormat/>
    <w:rsid w:val="00AF59F1"/>
  </w:style>
  <w:style w:type="character" w:styleId="Hipervnculo">
    <w:name w:val="Hyperlink"/>
    <w:basedOn w:val="Fuentedeprrafopredeter"/>
    <w:uiPriority w:val="99"/>
    <w:unhideWhenUsed/>
    <w:rsid w:val="00743698"/>
    <w:rPr>
      <w:color w:val="0563C1" w:themeColor="hyperlink"/>
      <w:u w:val="single"/>
    </w:rPr>
  </w:style>
  <w:style w:type="character" w:styleId="Hipervnculovisitado">
    <w:name w:val="FollowedHyperlink"/>
    <w:basedOn w:val="Fuentedeprrafopredeter"/>
    <w:uiPriority w:val="99"/>
    <w:semiHidden/>
    <w:unhideWhenUsed/>
    <w:rsid w:val="00743698"/>
    <w:rPr>
      <w:color w:val="954F72" w:themeColor="followedHyperlink"/>
      <w:u w:val="single"/>
    </w:rPr>
  </w:style>
  <w:style w:type="character" w:styleId="Refdecomentario">
    <w:name w:val="annotation reference"/>
    <w:basedOn w:val="Fuentedeprrafopredeter"/>
    <w:uiPriority w:val="99"/>
    <w:semiHidden/>
    <w:unhideWhenUsed/>
    <w:qFormat/>
    <w:rsid w:val="00993A60"/>
    <w:rPr>
      <w:sz w:val="16"/>
      <w:szCs w:val="16"/>
    </w:rPr>
  </w:style>
  <w:style w:type="character" w:customStyle="1" w:styleId="TextocomentarioCar">
    <w:name w:val="Texto comentario Car"/>
    <w:basedOn w:val="Fuentedeprrafopredeter"/>
    <w:link w:val="Textocomentario"/>
    <w:uiPriority w:val="99"/>
    <w:qFormat/>
    <w:rsid w:val="00993A60"/>
    <w:rPr>
      <w:sz w:val="20"/>
      <w:szCs w:val="20"/>
    </w:rPr>
  </w:style>
  <w:style w:type="character" w:customStyle="1" w:styleId="AsuntodelcomentarioCar">
    <w:name w:val="Asunto del comentario Car"/>
    <w:basedOn w:val="TextocomentarioCar"/>
    <w:link w:val="Asuntodelcomentario"/>
    <w:uiPriority w:val="99"/>
    <w:semiHidden/>
    <w:qFormat/>
    <w:rsid w:val="00993A60"/>
    <w:rPr>
      <w:b/>
      <w:bCs/>
      <w:sz w:val="20"/>
      <w:szCs w:val="20"/>
    </w:rPr>
  </w:style>
  <w:style w:type="character" w:customStyle="1" w:styleId="TextodegloboCar">
    <w:name w:val="Texto de globo Car"/>
    <w:basedOn w:val="Fuentedeprrafopredeter"/>
    <w:link w:val="Textodeglobo"/>
    <w:uiPriority w:val="99"/>
    <w:semiHidden/>
    <w:qFormat/>
    <w:rsid w:val="00A21C7D"/>
    <w:rPr>
      <w:rFonts w:ascii="Segoe UI" w:hAnsi="Segoe UI" w:cs="Segoe UI"/>
      <w:sz w:val="18"/>
      <w:szCs w:val="18"/>
    </w:rPr>
  </w:style>
  <w:style w:type="character" w:customStyle="1" w:styleId="apple-converted-space">
    <w:name w:val="apple-converted-space"/>
    <w:basedOn w:val="Fuentedeprrafopredeter"/>
    <w:qFormat/>
    <w:rsid w:val="00CC0A49"/>
  </w:style>
  <w:style w:type="paragraph" w:customStyle="1" w:styleId="Ttulo1">
    <w:name w:val="Título1"/>
    <w:basedOn w:val="Normal"/>
    <w:next w:val="Textoindependiente"/>
    <w:qFormat/>
    <w:pPr>
      <w:keepNext/>
      <w:spacing w:before="240" w:after="120"/>
      <w:contextualSpacing w:val="0"/>
    </w:pPr>
    <w:rPr>
      <w:rFonts w:ascii="Liberation Sans" w:eastAsia="Microsoft YaHei" w:hAnsi="Liberation Sans" w:cs="Lucida Sans"/>
      <w:sz w:val="28"/>
      <w:szCs w:val="28"/>
    </w:rPr>
  </w:style>
  <w:style w:type="paragraph" w:styleId="Textoindependiente">
    <w:name w:val="Body Text"/>
    <w:basedOn w:val="Normal"/>
    <w:pPr>
      <w:spacing w:after="140" w:line="276" w:lineRule="auto"/>
      <w:contextualSpacing w:val="0"/>
    </w:pPr>
  </w:style>
  <w:style w:type="paragraph" w:styleId="Lista">
    <w:name w:val="List"/>
    <w:basedOn w:val="Textoindependiente"/>
    <w:rPr>
      <w:rFonts w:cs="Lucida Sans"/>
    </w:rPr>
  </w:style>
  <w:style w:type="paragraph" w:styleId="Descripcin">
    <w:name w:val="caption"/>
    <w:basedOn w:val="Normal"/>
    <w:qFormat/>
    <w:pPr>
      <w:suppressLineNumbers/>
      <w:spacing w:before="120" w:after="120"/>
      <w:contextualSpacing w:val="0"/>
    </w:pPr>
    <w:rPr>
      <w:rFonts w:cs="Lucida Sans"/>
      <w:i/>
      <w:iCs/>
      <w:sz w:val="24"/>
      <w:szCs w:val="24"/>
    </w:rPr>
  </w:style>
  <w:style w:type="paragraph" w:customStyle="1" w:styleId="ndice">
    <w:name w:val="Índice"/>
    <w:basedOn w:val="Normal"/>
    <w:qFormat/>
    <w:pPr>
      <w:suppressLineNumbers/>
    </w:pPr>
    <w:rPr>
      <w:rFonts w:cs="Lucida Sans"/>
    </w:rPr>
  </w:style>
  <w:style w:type="paragraph" w:customStyle="1" w:styleId="Cabeceraypie">
    <w:name w:val="Cabecera y pie"/>
    <w:basedOn w:val="Normal"/>
    <w:qFormat/>
  </w:style>
  <w:style w:type="paragraph" w:styleId="Encabezado">
    <w:name w:val="header"/>
    <w:basedOn w:val="Normal"/>
    <w:link w:val="EncabezadoCar"/>
    <w:uiPriority w:val="99"/>
    <w:unhideWhenUsed/>
    <w:rsid w:val="008A5E22"/>
    <w:pPr>
      <w:tabs>
        <w:tab w:val="center" w:pos="4419"/>
        <w:tab w:val="right" w:pos="8838"/>
      </w:tabs>
    </w:pPr>
  </w:style>
  <w:style w:type="paragraph" w:styleId="Piedepgina">
    <w:name w:val="footer"/>
    <w:basedOn w:val="Normal"/>
    <w:link w:val="PiedepginaCar"/>
    <w:uiPriority w:val="99"/>
    <w:unhideWhenUsed/>
    <w:rsid w:val="008A5E22"/>
    <w:pPr>
      <w:tabs>
        <w:tab w:val="center" w:pos="4419"/>
        <w:tab w:val="right" w:pos="8838"/>
      </w:tabs>
    </w:pPr>
  </w:style>
  <w:style w:type="paragraph" w:customStyle="1" w:styleId="Conbandas">
    <w:name w:val="Con bandas"/>
    <w:qFormat/>
    <w:rsid w:val="00743698"/>
    <w:pPr>
      <w:spacing w:after="160" w:line="259" w:lineRule="auto"/>
    </w:pPr>
    <w:rPr>
      <w:rFonts w:ascii="Calibri" w:eastAsiaTheme="minorEastAsia" w:hAnsi="Calibri" w:cs="Times New Roman"/>
      <w:sz w:val="3276"/>
      <w:szCs w:val="3276"/>
      <w:lang w:val="es-ES" w:eastAsia="es-ES"/>
    </w:rPr>
  </w:style>
  <w:style w:type="paragraph" w:customStyle="1" w:styleId="Facetapginaimpar">
    <w:name w:val="Faceta (página impar)"/>
    <w:qFormat/>
    <w:rsid w:val="00743698"/>
    <w:pPr>
      <w:spacing w:after="160" w:line="259" w:lineRule="auto"/>
    </w:pPr>
    <w:rPr>
      <w:rFonts w:ascii="Calibri" w:eastAsiaTheme="minorEastAsia" w:hAnsi="Calibri" w:cs="Times New Roman"/>
      <w:sz w:val="3276"/>
      <w:szCs w:val="3276"/>
      <w:lang w:val="es-ES" w:eastAsia="es-ES"/>
    </w:rPr>
  </w:style>
  <w:style w:type="paragraph" w:styleId="Textocomentario">
    <w:name w:val="annotation text"/>
    <w:basedOn w:val="Normal"/>
    <w:link w:val="TextocomentarioCar"/>
    <w:uiPriority w:val="99"/>
    <w:unhideWhenUsed/>
    <w:qFormat/>
    <w:rsid w:val="00993A60"/>
    <w:rPr>
      <w:sz w:val="20"/>
      <w:szCs w:val="20"/>
    </w:rPr>
  </w:style>
  <w:style w:type="paragraph" w:styleId="Asuntodelcomentario">
    <w:name w:val="annotation subject"/>
    <w:basedOn w:val="Textocomentario"/>
    <w:next w:val="Textocomentario"/>
    <w:link w:val="AsuntodelcomentarioCar"/>
    <w:uiPriority w:val="99"/>
    <w:semiHidden/>
    <w:unhideWhenUsed/>
    <w:qFormat/>
    <w:rsid w:val="00993A60"/>
    <w:rPr>
      <w:b/>
      <w:bCs/>
    </w:rPr>
  </w:style>
  <w:style w:type="paragraph" w:styleId="Textodeglobo">
    <w:name w:val="Balloon Text"/>
    <w:basedOn w:val="Normal"/>
    <w:link w:val="TextodegloboCar"/>
    <w:uiPriority w:val="99"/>
    <w:semiHidden/>
    <w:unhideWhenUsed/>
    <w:qFormat/>
    <w:rsid w:val="00A21C7D"/>
    <w:rPr>
      <w:rFonts w:ascii="Segoe UI" w:hAnsi="Segoe UI" w:cs="Segoe UI"/>
      <w:sz w:val="18"/>
      <w:szCs w:val="18"/>
    </w:rPr>
  </w:style>
  <w:style w:type="paragraph" w:styleId="Prrafodelista">
    <w:name w:val="List Paragraph"/>
    <w:basedOn w:val="Normal"/>
    <w:uiPriority w:val="34"/>
    <w:qFormat/>
    <w:rsid w:val="00A273ED"/>
    <w:pPr>
      <w:spacing w:after="160"/>
      <w:ind w:left="720"/>
    </w:pPr>
  </w:style>
  <w:style w:type="paragraph" w:customStyle="1" w:styleId="Contenidodelmarco">
    <w:name w:val="Contenido del marco"/>
    <w:basedOn w:val="Normal"/>
    <w:qFormat/>
  </w:style>
  <w:style w:type="paragraph" w:customStyle="1" w:styleId="Contenidodelatabla">
    <w:name w:val="Contenido de la tabla"/>
    <w:basedOn w:val="Normal"/>
    <w:qFormat/>
    <w:pPr>
      <w:widowControl w:val="0"/>
      <w:suppressLineNumbers/>
    </w:pPr>
  </w:style>
  <w:style w:type="paragraph" w:customStyle="1" w:styleId="Ttulodelatabla">
    <w:name w:val="Título de la tabla"/>
    <w:basedOn w:val="Contenidodelatabla"/>
    <w:qFormat/>
    <w:pPr>
      <w:jc w:val="center"/>
    </w:pPr>
    <w:rPr>
      <w:b/>
      <w:bCs/>
    </w:rPr>
  </w:style>
  <w:style w:type="table" w:styleId="Tablaconcuadrcula">
    <w:name w:val="Table Grid"/>
    <w:basedOn w:val="Tablanormal"/>
    <w:uiPriority w:val="39"/>
    <w:rsid w:val="00EC0D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2-nfasis1">
    <w:name w:val="Grid Table 2 Accent 1"/>
    <w:basedOn w:val="Tablanormal"/>
    <w:uiPriority w:val="47"/>
    <w:rsid w:val="00E61D2D"/>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4472C4" w:themeColor="accent1"/>
          <w:insideH w:val="nil"/>
          <w:insideV w:val="nil"/>
        </w:tcBorders>
        <w:shd w:val="clear" w:color="auto" w:fill="FFFFFF" w:themeFill="background1"/>
      </w:tcPr>
    </w:tblStylePr>
    <w:tblStylePr w:type="lastRow">
      <w:rPr>
        <w:b/>
        <w:bCs/>
      </w:rPr>
      <w:tblPr/>
      <w:tcPr>
        <w:tcBorders>
          <w:top w:val="double" w:sz="2" w:space="0" w:color="4472C4" w:themeColor="accent1"/>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anormal4">
    <w:name w:val="Plain Table 4"/>
    <w:basedOn w:val="Tablanormal"/>
    <w:uiPriority w:val="44"/>
    <w:rsid w:val="00771D73"/>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concuadrculaclara">
    <w:name w:val="Grid Table Light"/>
    <w:basedOn w:val="Tablanormal"/>
    <w:uiPriority w:val="40"/>
    <w:rsid w:val="00EE7DBB"/>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style>
  <w:style w:type="table" w:styleId="Tablaconcuadrcula6concolores-nfasis5">
    <w:name w:val="Grid Table 6 Colorful Accent 5"/>
    <w:basedOn w:val="Tablanormal"/>
    <w:uiPriority w:val="51"/>
    <w:rsid w:val="006F43E4"/>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wmf"/></Relationships>
</file>

<file path=word/_rels/header3.xml.rels><?xml version="1.0" encoding="UTF-8" standalone="yes"?>
<Relationships xmlns="http://schemas.openxmlformats.org/package/2006/relationships"><Relationship Id="rId1" Type="http://schemas.openxmlformats.org/officeDocument/2006/relationships/image" Target="media/image2.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b7733de-8907-4ad1-9b5e-93bee565fcab" xsi:nil="true"/>
    <lcf76f155ced4ddcb4097134ff3c332f xmlns="e41666fd-7f88-42c8-ba34-90a88a75f66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5BE0A9CAB831584EB7F7304C9D0A668E" ma:contentTypeVersion="17" ma:contentTypeDescription="Crear nuevo documento." ma:contentTypeScope="" ma:versionID="d3c0b1b9a881db95974d925bc6ac1e6e">
  <xsd:schema xmlns:xsd="http://www.w3.org/2001/XMLSchema" xmlns:xs="http://www.w3.org/2001/XMLSchema" xmlns:p="http://schemas.microsoft.com/office/2006/metadata/properties" xmlns:ns2="e41666fd-7f88-42c8-ba34-90a88a75f66b" xmlns:ns3="bb7733de-8907-4ad1-9b5e-93bee565fcab" targetNamespace="http://schemas.microsoft.com/office/2006/metadata/properties" ma:root="true" ma:fieldsID="4fe2a625dd6b7ed7439e1bf4f944ef31" ns2:_="" ns3:_="">
    <xsd:import namespace="e41666fd-7f88-42c8-ba34-90a88a75f66b"/>
    <xsd:import namespace="bb7733de-8907-4ad1-9b5e-93bee565fca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element ref="ns2:MediaLengthInSeconds" minOccurs="0"/>
                <xsd:element ref="ns2:MediaServiceSearchPropertie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1666fd-7f88-42c8-ba34-90a88a75f6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lcf76f155ced4ddcb4097134ff3c332f" ma:index="23" nillable="true" ma:taxonomy="true" ma:internalName="lcf76f155ced4ddcb4097134ff3c332f" ma:taxonomyFieldName="MediaServiceImageTags" ma:displayName="Etiquetas de imagen" ma:readOnly="false" ma:fieldId="{5cf76f15-5ced-4ddc-b409-7134ff3c332f}" ma:taxonomyMulti="true" ma:sspId="f8a094f3-5355-4f18-8742-8f039f4031a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b7733de-8907-4ad1-9b5e-93bee565fcab"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4" nillable="true" ma:displayName="Taxonomy Catch All Column" ma:hidden="true" ma:list="{87a044f1-7d51-4c54-8a45-c216bf790be5}" ma:internalName="TaxCatchAll" ma:showField="CatchAllData" ma:web="bb7733de-8907-4ad1-9b5e-93bee565fc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4FB4D38-8D26-4027-B61D-AB1D81E5440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2773F72-86FC-43C1-BF78-762B3B1E3925}">
  <ds:schemaRefs>
    <ds:schemaRef ds:uri="http://schemas.microsoft.com/sharepoint/v3/contenttype/forms"/>
  </ds:schemaRefs>
</ds:datastoreItem>
</file>

<file path=customXml/itemProps3.xml><?xml version="1.0" encoding="utf-8"?>
<ds:datastoreItem xmlns:ds="http://schemas.openxmlformats.org/officeDocument/2006/customXml" ds:itemID="{6F84D9FF-0BFA-42C5-94CF-EADE588D9D88}">
  <ds:schemaRefs>
    <ds:schemaRef ds:uri="http://schemas.openxmlformats.org/officeDocument/2006/bibliography"/>
  </ds:schemaRefs>
</ds:datastoreItem>
</file>

<file path=customXml/itemProps4.xml><?xml version="1.0" encoding="utf-8"?>
<ds:datastoreItem xmlns:ds="http://schemas.openxmlformats.org/officeDocument/2006/customXml" ds:itemID="{100188AC-F32E-4B06-8D7E-024DF15EAB92}"/>
</file>

<file path=docProps/app.xml><?xml version="1.0" encoding="utf-8"?>
<Properties xmlns="http://schemas.openxmlformats.org/officeDocument/2006/extended-properties" xmlns:vt="http://schemas.openxmlformats.org/officeDocument/2006/docPropsVTypes">
  <Template>Normal</Template>
  <TotalTime>52</TotalTime>
  <Pages>1</Pages>
  <Words>7295</Words>
  <Characters>40123</Characters>
  <Application>Microsoft Office Word</Application>
  <DocSecurity>0</DocSecurity>
  <Lines>334</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Fundación Gente</dc:creator>
  <dc:description/>
  <cp:lastModifiedBy>Karol Zuniga Ulloa</cp:lastModifiedBy>
  <cp:revision>6</cp:revision>
  <dcterms:created xsi:type="dcterms:W3CDTF">2023-03-22T21:22:00Z</dcterms:created>
  <dcterms:modified xsi:type="dcterms:W3CDTF">2023-05-05T15:57:00Z</dcterms:modified>
  <dc:language>es-CR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0x0101005BE0A9CAB831584EB7F7304C9D0A668E</vt:lpwstr>
  </property>
</Properties>
</file>